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1FB" w:rsidRDefault="00B07651">
      <w:pPr>
        <w:pStyle w:val="a4"/>
      </w:pPr>
      <w:r>
        <w:t>APPROVED</w:t>
      </w:r>
    </w:p>
    <w:p w:rsidR="002971FB" w:rsidRDefault="002971FB">
      <w:pPr>
        <w:pStyle w:val="a3"/>
        <w:spacing w:before="2"/>
        <w:rPr>
          <w:b/>
        </w:rPr>
      </w:pPr>
    </w:p>
    <w:p w:rsidR="002971FB" w:rsidRDefault="00B07651">
      <w:pPr>
        <w:pStyle w:val="a3"/>
        <w:spacing w:line="289" w:lineRule="exact"/>
        <w:ind w:left="4638"/>
      </w:pPr>
      <w:r>
        <w:t>by the Moscow Exchange Executive Board</w:t>
      </w:r>
    </w:p>
    <w:p w:rsidR="002971FB" w:rsidRDefault="00B07651">
      <w:pPr>
        <w:pStyle w:val="a3"/>
        <w:spacing w:line="289" w:lineRule="exact"/>
        <w:ind w:left="4638"/>
      </w:pPr>
      <w:r>
        <w:t>9 February 2024, Minutes No. 12</w:t>
      </w:r>
    </w:p>
    <w:p w:rsidR="002971FB" w:rsidRDefault="002971FB">
      <w:pPr>
        <w:pStyle w:val="a3"/>
        <w:spacing w:before="1"/>
      </w:pPr>
    </w:p>
    <w:p w:rsidR="002971FB" w:rsidRDefault="00B07651">
      <w:pPr>
        <w:pStyle w:val="a3"/>
        <w:ind w:left="4638" w:right="2090"/>
      </w:pPr>
      <w:r>
        <w:t>Chairman of the Executive Board</w:t>
      </w:r>
    </w:p>
    <w:p w:rsidR="002971FB" w:rsidRDefault="002971FB">
      <w:pPr>
        <w:pStyle w:val="a3"/>
        <w:spacing w:before="8"/>
        <w:rPr>
          <w:sz w:val="15"/>
        </w:rPr>
      </w:pPr>
    </w:p>
    <w:p w:rsidR="002971FB" w:rsidRDefault="00B07651">
      <w:pPr>
        <w:pStyle w:val="a3"/>
        <w:tabs>
          <w:tab w:val="left" w:pos="7312"/>
        </w:tabs>
        <w:spacing w:before="101"/>
        <w:ind w:left="4638"/>
      </w:pPr>
      <w:r>
        <w:rPr>
          <w:rFonts w:ascii="Times New Roman" w:hAnsi="Times New Roman"/>
          <w:u w:val="single"/>
        </w:rPr>
        <w:t xml:space="preserve"> </w:t>
      </w:r>
      <w:r>
        <w:rPr>
          <w:rFonts w:ascii="Times New Roman" w:hAnsi="Times New Roman"/>
          <w:u w:val="single"/>
        </w:rPr>
        <w:tab/>
      </w:r>
      <w:proofErr w:type="spellStart"/>
      <w:r>
        <w:t>Yu.O</w:t>
      </w:r>
      <w:proofErr w:type="spellEnd"/>
      <w:r>
        <w:t>. Denisov</w:t>
      </w:r>
    </w:p>
    <w:p w:rsidR="002971FB" w:rsidRDefault="002971FB">
      <w:pPr>
        <w:pStyle w:val="a3"/>
        <w:rPr>
          <w:sz w:val="28"/>
        </w:rPr>
      </w:pPr>
    </w:p>
    <w:p w:rsidR="002971FB" w:rsidRDefault="002971FB">
      <w:pPr>
        <w:pStyle w:val="a3"/>
        <w:rPr>
          <w:sz w:val="28"/>
        </w:rPr>
      </w:pPr>
    </w:p>
    <w:p w:rsidR="002971FB" w:rsidRDefault="002971FB">
      <w:pPr>
        <w:pStyle w:val="a3"/>
        <w:rPr>
          <w:sz w:val="28"/>
        </w:rPr>
      </w:pPr>
    </w:p>
    <w:p w:rsidR="002971FB" w:rsidRDefault="002971FB">
      <w:pPr>
        <w:pStyle w:val="a3"/>
        <w:rPr>
          <w:sz w:val="28"/>
        </w:rPr>
      </w:pPr>
    </w:p>
    <w:p w:rsidR="002971FB" w:rsidRDefault="002971FB">
      <w:pPr>
        <w:pStyle w:val="a3"/>
        <w:rPr>
          <w:sz w:val="28"/>
        </w:rPr>
      </w:pPr>
    </w:p>
    <w:p w:rsidR="002971FB" w:rsidRDefault="002971FB">
      <w:pPr>
        <w:pStyle w:val="a3"/>
        <w:spacing w:before="11"/>
        <w:rPr>
          <w:sz w:val="27"/>
        </w:rPr>
      </w:pPr>
    </w:p>
    <w:p w:rsidR="002971FB" w:rsidRDefault="00B07651">
      <w:pPr>
        <w:pStyle w:val="a3"/>
        <w:ind w:left="492" w:right="500"/>
        <w:jc w:val="center"/>
      </w:pPr>
      <w:r>
        <w:t>Amendments 1</w:t>
      </w:r>
    </w:p>
    <w:p w:rsidR="002971FB" w:rsidRDefault="00B07651">
      <w:pPr>
        <w:pStyle w:val="a3"/>
        <w:ind w:left="495" w:right="500"/>
        <w:jc w:val="center"/>
      </w:pPr>
      <w:r>
        <w:t>to the Provisions on the Expert Council for Precious Metals Price Indices</w:t>
      </w:r>
    </w:p>
    <w:p w:rsidR="002971FB" w:rsidRDefault="002971FB">
      <w:pPr>
        <w:pStyle w:val="a3"/>
        <w:rPr>
          <w:sz w:val="28"/>
        </w:rPr>
      </w:pPr>
    </w:p>
    <w:p w:rsidR="002971FB" w:rsidRDefault="002971FB">
      <w:pPr>
        <w:pStyle w:val="a3"/>
        <w:rPr>
          <w:sz w:val="28"/>
        </w:rPr>
      </w:pPr>
    </w:p>
    <w:p w:rsidR="002971FB" w:rsidRDefault="00B07651">
      <w:pPr>
        <w:pStyle w:val="a5"/>
        <w:numPr>
          <w:ilvl w:val="0"/>
          <w:numId w:val="2"/>
        </w:numPr>
        <w:tabs>
          <w:tab w:val="left" w:pos="381"/>
        </w:tabs>
        <w:spacing w:before="194"/>
        <w:rPr>
          <w:sz w:val="24"/>
        </w:rPr>
      </w:pPr>
      <w:r>
        <w:rPr>
          <w:sz w:val="24"/>
        </w:rPr>
        <w:t xml:space="preserve">Paragraph 1.1. of Section 1. </w:t>
      </w:r>
      <w:r>
        <w:rPr>
          <w:sz w:val="24"/>
        </w:rPr>
        <w:t>GENERAL PROVISIONS shall be amended to read as follows:</w:t>
      </w:r>
    </w:p>
    <w:p w:rsidR="002971FB" w:rsidRDefault="002971FB">
      <w:pPr>
        <w:pStyle w:val="a3"/>
        <w:spacing w:before="4"/>
        <w:rPr>
          <w:sz w:val="22"/>
        </w:rPr>
      </w:pPr>
    </w:p>
    <w:p w:rsidR="002971FB" w:rsidRDefault="00B07651">
      <w:pPr>
        <w:pStyle w:val="a3"/>
        <w:ind w:left="102" w:right="104"/>
        <w:jc w:val="both"/>
      </w:pPr>
      <w:r>
        <w:rPr>
          <w:rFonts w:ascii="Calibri" w:hAnsi="Calibri"/>
          <w:sz w:val="22"/>
        </w:rPr>
        <w:t>“</w:t>
      </w:r>
      <w:r>
        <w:t xml:space="preserve">1.1. </w:t>
      </w:r>
      <w:r>
        <w:t xml:space="preserve">The Provisions on the Expert Council for Precious Metals Price Indices (hereinafter, the Provisions) established the procedure for the creation of the Expert Council for Precious Metals Price Indices (hereinafter referred to as the Expert Council) and its </w:t>
      </w:r>
      <w:r>
        <w:t>status, determines its tasks and functions, as well as its powers, work and decision-making procedures.”</w:t>
      </w:r>
    </w:p>
    <w:p w:rsidR="002971FB" w:rsidRDefault="002971FB">
      <w:pPr>
        <w:pStyle w:val="a3"/>
        <w:spacing w:before="11"/>
        <w:rPr>
          <w:sz w:val="23"/>
        </w:rPr>
      </w:pPr>
    </w:p>
    <w:p w:rsidR="002971FB" w:rsidRDefault="00B07651">
      <w:pPr>
        <w:pStyle w:val="a5"/>
        <w:numPr>
          <w:ilvl w:val="0"/>
          <w:numId w:val="2"/>
        </w:numPr>
        <w:tabs>
          <w:tab w:val="left" w:pos="381"/>
        </w:tabs>
        <w:rPr>
          <w:sz w:val="24"/>
        </w:rPr>
      </w:pPr>
      <w:r>
        <w:rPr>
          <w:sz w:val="24"/>
        </w:rPr>
        <w:t>Paragraph 1.5 of Section 1. GENERAL PROVISIONS shall be excluded.</w:t>
      </w:r>
    </w:p>
    <w:p w:rsidR="002971FB" w:rsidRDefault="002971FB">
      <w:pPr>
        <w:pStyle w:val="a3"/>
        <w:spacing w:before="11"/>
        <w:rPr>
          <w:sz w:val="23"/>
        </w:rPr>
      </w:pPr>
    </w:p>
    <w:p w:rsidR="002971FB" w:rsidRDefault="00B07651">
      <w:pPr>
        <w:pStyle w:val="a5"/>
        <w:numPr>
          <w:ilvl w:val="0"/>
          <w:numId w:val="2"/>
        </w:numPr>
        <w:tabs>
          <w:tab w:val="left" w:pos="496"/>
        </w:tabs>
        <w:ind w:left="102" w:right="109" w:firstLine="0"/>
        <w:rPr>
          <w:sz w:val="24"/>
        </w:rPr>
      </w:pPr>
      <w:r>
        <w:rPr>
          <w:sz w:val="24"/>
        </w:rPr>
        <w:t>Paragraph 3.3 of Section 3. PROCEDURE FOR FORMING THE EXPERT COUNCIL shall be amend</w:t>
      </w:r>
      <w:r>
        <w:rPr>
          <w:sz w:val="24"/>
        </w:rPr>
        <w:t>ed to read as follows:</w:t>
      </w:r>
    </w:p>
    <w:p w:rsidR="002971FB" w:rsidRDefault="002971FB">
      <w:pPr>
        <w:pStyle w:val="a3"/>
        <w:spacing w:before="2"/>
      </w:pPr>
    </w:p>
    <w:p w:rsidR="002971FB" w:rsidRDefault="00B07651">
      <w:pPr>
        <w:pStyle w:val="a3"/>
        <w:spacing w:before="1" w:line="289" w:lineRule="exact"/>
        <w:ind w:left="102"/>
      </w:pPr>
      <w:r>
        <w:t>“3.3. The Expert Council may include:</w:t>
      </w:r>
    </w:p>
    <w:p w:rsidR="002971FB" w:rsidRDefault="00B07651" w:rsidP="00B07651">
      <w:pPr>
        <w:pStyle w:val="a5"/>
        <w:numPr>
          <w:ilvl w:val="0"/>
          <w:numId w:val="4"/>
        </w:numPr>
        <w:tabs>
          <w:tab w:val="left" w:pos="809"/>
          <w:tab w:val="left" w:pos="810"/>
          <w:tab w:val="left" w:pos="4104"/>
          <w:tab w:val="left" w:pos="6272"/>
          <w:tab w:val="left" w:pos="8181"/>
          <w:tab w:val="left" w:pos="8560"/>
        </w:tabs>
        <w:ind w:right="111"/>
        <w:rPr>
          <w:sz w:val="24"/>
        </w:rPr>
      </w:pPr>
      <w:r>
        <w:rPr>
          <w:sz w:val="24"/>
        </w:rPr>
        <w:t>representatives of companies involved in mining, processing and production of precious metals;</w:t>
      </w:r>
    </w:p>
    <w:p w:rsidR="002971FB" w:rsidRDefault="00B07651" w:rsidP="00B07651">
      <w:pPr>
        <w:pStyle w:val="a5"/>
        <w:numPr>
          <w:ilvl w:val="0"/>
          <w:numId w:val="4"/>
        </w:numPr>
        <w:tabs>
          <w:tab w:val="left" w:pos="809"/>
          <w:tab w:val="left" w:pos="810"/>
        </w:tabs>
        <w:spacing w:line="289" w:lineRule="exact"/>
        <w:rPr>
          <w:sz w:val="24"/>
        </w:rPr>
      </w:pPr>
      <w:r>
        <w:rPr>
          <w:sz w:val="24"/>
        </w:rPr>
        <w:t xml:space="preserve">representatives of financial institutions on the precious </w:t>
      </w:r>
      <w:proofErr w:type="gramStart"/>
      <w:r>
        <w:rPr>
          <w:sz w:val="24"/>
        </w:rPr>
        <w:t>metals</w:t>
      </w:r>
      <w:proofErr w:type="gramEnd"/>
      <w:r>
        <w:rPr>
          <w:sz w:val="24"/>
        </w:rPr>
        <w:t xml:space="preserve"> markets;</w:t>
      </w:r>
    </w:p>
    <w:p w:rsidR="002971FB" w:rsidRDefault="00B07651" w:rsidP="00B07651">
      <w:pPr>
        <w:pStyle w:val="a5"/>
        <w:numPr>
          <w:ilvl w:val="0"/>
          <w:numId w:val="4"/>
        </w:numPr>
        <w:tabs>
          <w:tab w:val="left" w:pos="809"/>
          <w:tab w:val="left" w:pos="810"/>
        </w:tabs>
        <w:spacing w:line="289" w:lineRule="exact"/>
        <w:rPr>
          <w:sz w:val="24"/>
        </w:rPr>
      </w:pPr>
      <w:r>
        <w:rPr>
          <w:sz w:val="24"/>
        </w:rPr>
        <w:t>representatives of the Ex</w:t>
      </w:r>
      <w:r>
        <w:rPr>
          <w:sz w:val="24"/>
        </w:rPr>
        <w:t>change;</w:t>
      </w:r>
    </w:p>
    <w:p w:rsidR="00B07651" w:rsidRDefault="00B07651" w:rsidP="00B07651">
      <w:pPr>
        <w:pStyle w:val="a5"/>
        <w:numPr>
          <w:ilvl w:val="0"/>
          <w:numId w:val="4"/>
        </w:numPr>
        <w:tabs>
          <w:tab w:val="left" w:pos="809"/>
          <w:tab w:val="left" w:pos="810"/>
        </w:tabs>
        <w:spacing w:before="1"/>
        <w:ind w:right="105"/>
        <w:jc w:val="both"/>
        <w:rPr>
          <w:sz w:val="24"/>
        </w:rPr>
      </w:pPr>
      <w:r w:rsidRPr="00B07651">
        <w:rPr>
          <w:sz w:val="24"/>
        </w:rPr>
        <w:t>representatives of Bank of Russia, Russian Ministry of Finance and other state regulatory bodies;</w:t>
      </w:r>
    </w:p>
    <w:p w:rsidR="002971FB" w:rsidRPr="00B07651" w:rsidRDefault="00B07651" w:rsidP="00B07651">
      <w:pPr>
        <w:pStyle w:val="a5"/>
        <w:numPr>
          <w:ilvl w:val="0"/>
          <w:numId w:val="4"/>
        </w:numPr>
        <w:tabs>
          <w:tab w:val="left" w:pos="809"/>
          <w:tab w:val="left" w:pos="810"/>
        </w:tabs>
        <w:spacing w:before="1"/>
        <w:ind w:right="105"/>
        <w:jc w:val="both"/>
        <w:rPr>
          <w:sz w:val="24"/>
        </w:rPr>
      </w:pPr>
      <w:r w:rsidRPr="00B07651">
        <w:rPr>
          <w:sz w:val="24"/>
        </w:rPr>
        <w:t>independent experts, analysts and other persons with expertise in mining, processing and production of precious metals</w:t>
      </w:r>
      <w:r>
        <w:rPr>
          <w:sz w:val="24"/>
        </w:rPr>
        <w:t>.”</w:t>
      </w:r>
      <w:bookmarkStart w:id="0" w:name="_GoBack"/>
      <w:bookmarkEnd w:id="0"/>
    </w:p>
    <w:sectPr w:rsidR="002971FB" w:rsidRPr="00B07651">
      <w:type w:val="continuous"/>
      <w:pgSz w:w="11910" w:h="16840"/>
      <w:pgMar w:top="1040" w:right="74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altName w:val="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B96403"/>
    <w:multiLevelType w:val="hybridMultilevel"/>
    <w:tmpl w:val="32F08866"/>
    <w:lvl w:ilvl="0" w:tplc="5B0679E4">
      <w:numFmt w:val="bullet"/>
      <w:lvlText w:val="-"/>
      <w:lvlJc w:val="left"/>
      <w:pPr>
        <w:ind w:left="102" w:hanging="708"/>
      </w:pPr>
      <w:rPr>
        <w:rFonts w:ascii="Tahoma" w:eastAsia="Tahoma" w:hAnsi="Tahoma" w:cs="Tahoma" w:hint="default"/>
        <w:spacing w:val="-3"/>
        <w:sz w:val="24"/>
        <w:szCs w:val="24"/>
        <w:lang w:val="ru-RU" w:eastAsia="en-US" w:bidi="ar-SA"/>
      </w:rPr>
    </w:lvl>
    <w:lvl w:ilvl="1" w:tplc="BE1855AE">
      <w:numFmt w:val="bullet"/>
      <w:lvlText w:val="•"/>
      <w:lvlJc w:val="left"/>
      <w:pPr>
        <w:ind w:left="1046" w:hanging="708"/>
      </w:pPr>
      <w:rPr>
        <w:rFonts w:hint="default"/>
        <w:lang w:val="ru-RU" w:eastAsia="en-US" w:bidi="ar-SA"/>
      </w:rPr>
    </w:lvl>
    <w:lvl w:ilvl="2" w:tplc="5216AE00">
      <w:numFmt w:val="bullet"/>
      <w:lvlText w:val="•"/>
      <w:lvlJc w:val="left"/>
      <w:pPr>
        <w:ind w:left="1993" w:hanging="708"/>
      </w:pPr>
      <w:rPr>
        <w:rFonts w:hint="default"/>
        <w:lang w:val="ru-RU" w:eastAsia="en-US" w:bidi="ar-SA"/>
      </w:rPr>
    </w:lvl>
    <w:lvl w:ilvl="3" w:tplc="E83CF0A8">
      <w:numFmt w:val="bullet"/>
      <w:lvlText w:val="•"/>
      <w:lvlJc w:val="left"/>
      <w:pPr>
        <w:ind w:left="2939" w:hanging="708"/>
      </w:pPr>
      <w:rPr>
        <w:rFonts w:hint="default"/>
        <w:lang w:val="ru-RU" w:eastAsia="en-US" w:bidi="ar-SA"/>
      </w:rPr>
    </w:lvl>
    <w:lvl w:ilvl="4" w:tplc="11763064">
      <w:numFmt w:val="bullet"/>
      <w:lvlText w:val="•"/>
      <w:lvlJc w:val="left"/>
      <w:pPr>
        <w:ind w:left="3886" w:hanging="708"/>
      </w:pPr>
      <w:rPr>
        <w:rFonts w:hint="default"/>
        <w:lang w:val="ru-RU" w:eastAsia="en-US" w:bidi="ar-SA"/>
      </w:rPr>
    </w:lvl>
    <w:lvl w:ilvl="5" w:tplc="F59E681E">
      <w:numFmt w:val="bullet"/>
      <w:lvlText w:val="•"/>
      <w:lvlJc w:val="left"/>
      <w:pPr>
        <w:ind w:left="4833" w:hanging="708"/>
      </w:pPr>
      <w:rPr>
        <w:rFonts w:hint="default"/>
        <w:lang w:val="ru-RU" w:eastAsia="en-US" w:bidi="ar-SA"/>
      </w:rPr>
    </w:lvl>
    <w:lvl w:ilvl="6" w:tplc="C06C724E">
      <w:numFmt w:val="bullet"/>
      <w:lvlText w:val="•"/>
      <w:lvlJc w:val="left"/>
      <w:pPr>
        <w:ind w:left="5779" w:hanging="708"/>
      </w:pPr>
      <w:rPr>
        <w:rFonts w:hint="default"/>
        <w:lang w:val="ru-RU" w:eastAsia="en-US" w:bidi="ar-SA"/>
      </w:rPr>
    </w:lvl>
    <w:lvl w:ilvl="7" w:tplc="8D2E8308">
      <w:numFmt w:val="bullet"/>
      <w:lvlText w:val="•"/>
      <w:lvlJc w:val="left"/>
      <w:pPr>
        <w:ind w:left="6726" w:hanging="708"/>
      </w:pPr>
      <w:rPr>
        <w:rFonts w:hint="default"/>
        <w:lang w:val="ru-RU" w:eastAsia="en-US" w:bidi="ar-SA"/>
      </w:rPr>
    </w:lvl>
    <w:lvl w:ilvl="8" w:tplc="47E46204">
      <w:numFmt w:val="bullet"/>
      <w:lvlText w:val="•"/>
      <w:lvlJc w:val="left"/>
      <w:pPr>
        <w:ind w:left="7673" w:hanging="708"/>
      </w:pPr>
      <w:rPr>
        <w:rFonts w:hint="default"/>
        <w:lang w:val="ru-RU" w:eastAsia="en-US" w:bidi="ar-SA"/>
      </w:rPr>
    </w:lvl>
  </w:abstractNum>
  <w:abstractNum w:abstractNumId="1" w15:restartNumberingAfterBreak="0">
    <w:nsid w:val="384616D4"/>
    <w:multiLevelType w:val="hybridMultilevel"/>
    <w:tmpl w:val="09AC7CD8"/>
    <w:lvl w:ilvl="0" w:tplc="716E1286">
      <w:start w:val="1"/>
      <w:numFmt w:val="bullet"/>
      <w:lvlText w:val=""/>
      <w:lvlJc w:val="left"/>
      <w:pPr>
        <w:ind w:left="102" w:hanging="708"/>
      </w:pPr>
      <w:rPr>
        <w:rFonts w:ascii="Symbol" w:hAnsi="Symbol" w:hint="default"/>
        <w:spacing w:val="-3"/>
        <w:sz w:val="24"/>
        <w:szCs w:val="24"/>
        <w:lang w:val="ru-RU" w:eastAsia="en-US" w:bidi="ar-SA"/>
      </w:rPr>
    </w:lvl>
    <w:lvl w:ilvl="1" w:tplc="BE1855AE">
      <w:numFmt w:val="bullet"/>
      <w:lvlText w:val="•"/>
      <w:lvlJc w:val="left"/>
      <w:pPr>
        <w:ind w:left="1046" w:hanging="708"/>
      </w:pPr>
      <w:rPr>
        <w:rFonts w:hint="default"/>
        <w:lang w:val="ru-RU" w:eastAsia="en-US" w:bidi="ar-SA"/>
      </w:rPr>
    </w:lvl>
    <w:lvl w:ilvl="2" w:tplc="5216AE00">
      <w:numFmt w:val="bullet"/>
      <w:lvlText w:val="•"/>
      <w:lvlJc w:val="left"/>
      <w:pPr>
        <w:ind w:left="1993" w:hanging="708"/>
      </w:pPr>
      <w:rPr>
        <w:rFonts w:hint="default"/>
        <w:lang w:val="ru-RU" w:eastAsia="en-US" w:bidi="ar-SA"/>
      </w:rPr>
    </w:lvl>
    <w:lvl w:ilvl="3" w:tplc="E83CF0A8">
      <w:numFmt w:val="bullet"/>
      <w:lvlText w:val="•"/>
      <w:lvlJc w:val="left"/>
      <w:pPr>
        <w:ind w:left="2939" w:hanging="708"/>
      </w:pPr>
      <w:rPr>
        <w:rFonts w:hint="default"/>
        <w:lang w:val="ru-RU" w:eastAsia="en-US" w:bidi="ar-SA"/>
      </w:rPr>
    </w:lvl>
    <w:lvl w:ilvl="4" w:tplc="11763064">
      <w:numFmt w:val="bullet"/>
      <w:lvlText w:val="•"/>
      <w:lvlJc w:val="left"/>
      <w:pPr>
        <w:ind w:left="3886" w:hanging="708"/>
      </w:pPr>
      <w:rPr>
        <w:rFonts w:hint="default"/>
        <w:lang w:val="ru-RU" w:eastAsia="en-US" w:bidi="ar-SA"/>
      </w:rPr>
    </w:lvl>
    <w:lvl w:ilvl="5" w:tplc="F59E681E">
      <w:numFmt w:val="bullet"/>
      <w:lvlText w:val="•"/>
      <w:lvlJc w:val="left"/>
      <w:pPr>
        <w:ind w:left="4833" w:hanging="708"/>
      </w:pPr>
      <w:rPr>
        <w:rFonts w:hint="default"/>
        <w:lang w:val="ru-RU" w:eastAsia="en-US" w:bidi="ar-SA"/>
      </w:rPr>
    </w:lvl>
    <w:lvl w:ilvl="6" w:tplc="C06C724E">
      <w:numFmt w:val="bullet"/>
      <w:lvlText w:val="•"/>
      <w:lvlJc w:val="left"/>
      <w:pPr>
        <w:ind w:left="5779" w:hanging="708"/>
      </w:pPr>
      <w:rPr>
        <w:rFonts w:hint="default"/>
        <w:lang w:val="ru-RU" w:eastAsia="en-US" w:bidi="ar-SA"/>
      </w:rPr>
    </w:lvl>
    <w:lvl w:ilvl="7" w:tplc="8D2E8308">
      <w:numFmt w:val="bullet"/>
      <w:lvlText w:val="•"/>
      <w:lvlJc w:val="left"/>
      <w:pPr>
        <w:ind w:left="6726" w:hanging="708"/>
      </w:pPr>
      <w:rPr>
        <w:rFonts w:hint="default"/>
        <w:lang w:val="ru-RU" w:eastAsia="en-US" w:bidi="ar-SA"/>
      </w:rPr>
    </w:lvl>
    <w:lvl w:ilvl="8" w:tplc="47E46204">
      <w:numFmt w:val="bullet"/>
      <w:lvlText w:val="•"/>
      <w:lvlJc w:val="left"/>
      <w:pPr>
        <w:ind w:left="7673" w:hanging="708"/>
      </w:pPr>
      <w:rPr>
        <w:rFonts w:hint="default"/>
        <w:lang w:val="ru-RU" w:eastAsia="en-US" w:bidi="ar-SA"/>
      </w:rPr>
    </w:lvl>
  </w:abstractNum>
  <w:abstractNum w:abstractNumId="2" w15:restartNumberingAfterBreak="0">
    <w:nsid w:val="57983534"/>
    <w:multiLevelType w:val="hybridMultilevel"/>
    <w:tmpl w:val="8DD6EC06"/>
    <w:lvl w:ilvl="0" w:tplc="716E1286">
      <w:start w:val="1"/>
      <w:numFmt w:val="bullet"/>
      <w:lvlText w:val=""/>
      <w:lvlJc w:val="left"/>
      <w:pPr>
        <w:ind w:left="1428" w:hanging="708"/>
      </w:pPr>
      <w:rPr>
        <w:rFonts w:ascii="Symbol" w:hAnsi="Symbol" w:hint="default"/>
        <w:spacing w:val="-3"/>
        <w:sz w:val="24"/>
        <w:szCs w:val="24"/>
        <w:lang w:val="ru-RU" w:eastAsia="en-US" w:bidi="ar-SA"/>
      </w:rPr>
    </w:lvl>
    <w:lvl w:ilvl="1" w:tplc="BE1855AE">
      <w:numFmt w:val="bullet"/>
      <w:lvlText w:val="•"/>
      <w:lvlJc w:val="left"/>
      <w:pPr>
        <w:ind w:left="2372" w:hanging="708"/>
      </w:pPr>
      <w:rPr>
        <w:rFonts w:hint="default"/>
        <w:lang w:val="ru-RU" w:eastAsia="en-US" w:bidi="ar-SA"/>
      </w:rPr>
    </w:lvl>
    <w:lvl w:ilvl="2" w:tplc="5216AE00">
      <w:numFmt w:val="bullet"/>
      <w:lvlText w:val="•"/>
      <w:lvlJc w:val="left"/>
      <w:pPr>
        <w:ind w:left="3319" w:hanging="708"/>
      </w:pPr>
      <w:rPr>
        <w:rFonts w:hint="default"/>
        <w:lang w:val="ru-RU" w:eastAsia="en-US" w:bidi="ar-SA"/>
      </w:rPr>
    </w:lvl>
    <w:lvl w:ilvl="3" w:tplc="E83CF0A8">
      <w:numFmt w:val="bullet"/>
      <w:lvlText w:val="•"/>
      <w:lvlJc w:val="left"/>
      <w:pPr>
        <w:ind w:left="4265" w:hanging="708"/>
      </w:pPr>
      <w:rPr>
        <w:rFonts w:hint="default"/>
        <w:lang w:val="ru-RU" w:eastAsia="en-US" w:bidi="ar-SA"/>
      </w:rPr>
    </w:lvl>
    <w:lvl w:ilvl="4" w:tplc="11763064">
      <w:numFmt w:val="bullet"/>
      <w:lvlText w:val="•"/>
      <w:lvlJc w:val="left"/>
      <w:pPr>
        <w:ind w:left="5212" w:hanging="708"/>
      </w:pPr>
      <w:rPr>
        <w:rFonts w:hint="default"/>
        <w:lang w:val="ru-RU" w:eastAsia="en-US" w:bidi="ar-SA"/>
      </w:rPr>
    </w:lvl>
    <w:lvl w:ilvl="5" w:tplc="F59E681E">
      <w:numFmt w:val="bullet"/>
      <w:lvlText w:val="•"/>
      <w:lvlJc w:val="left"/>
      <w:pPr>
        <w:ind w:left="6159" w:hanging="708"/>
      </w:pPr>
      <w:rPr>
        <w:rFonts w:hint="default"/>
        <w:lang w:val="ru-RU" w:eastAsia="en-US" w:bidi="ar-SA"/>
      </w:rPr>
    </w:lvl>
    <w:lvl w:ilvl="6" w:tplc="C06C724E">
      <w:numFmt w:val="bullet"/>
      <w:lvlText w:val="•"/>
      <w:lvlJc w:val="left"/>
      <w:pPr>
        <w:ind w:left="7105" w:hanging="708"/>
      </w:pPr>
      <w:rPr>
        <w:rFonts w:hint="default"/>
        <w:lang w:val="ru-RU" w:eastAsia="en-US" w:bidi="ar-SA"/>
      </w:rPr>
    </w:lvl>
    <w:lvl w:ilvl="7" w:tplc="8D2E8308">
      <w:numFmt w:val="bullet"/>
      <w:lvlText w:val="•"/>
      <w:lvlJc w:val="left"/>
      <w:pPr>
        <w:ind w:left="8052" w:hanging="708"/>
      </w:pPr>
      <w:rPr>
        <w:rFonts w:hint="default"/>
        <w:lang w:val="ru-RU" w:eastAsia="en-US" w:bidi="ar-SA"/>
      </w:rPr>
    </w:lvl>
    <w:lvl w:ilvl="8" w:tplc="47E46204">
      <w:numFmt w:val="bullet"/>
      <w:lvlText w:val="•"/>
      <w:lvlJc w:val="left"/>
      <w:pPr>
        <w:ind w:left="8999" w:hanging="708"/>
      </w:pPr>
      <w:rPr>
        <w:rFonts w:hint="default"/>
        <w:lang w:val="ru-RU" w:eastAsia="en-US" w:bidi="ar-SA"/>
      </w:rPr>
    </w:lvl>
  </w:abstractNum>
  <w:abstractNum w:abstractNumId="3" w15:restartNumberingAfterBreak="0">
    <w:nsid w:val="653A3FF5"/>
    <w:multiLevelType w:val="hybridMultilevel"/>
    <w:tmpl w:val="970E72D4"/>
    <w:lvl w:ilvl="0" w:tplc="916EBA14">
      <w:start w:val="1"/>
      <w:numFmt w:val="decimal"/>
      <w:lvlText w:val="%1."/>
      <w:lvlJc w:val="left"/>
      <w:pPr>
        <w:ind w:left="380" w:hanging="279"/>
        <w:jc w:val="left"/>
      </w:pPr>
      <w:rPr>
        <w:rFonts w:ascii="Tahoma" w:eastAsia="Tahoma" w:hAnsi="Tahoma" w:cs="Tahoma" w:hint="default"/>
        <w:sz w:val="24"/>
        <w:szCs w:val="24"/>
        <w:lang w:val="ru-RU" w:eastAsia="en-US" w:bidi="ar-SA"/>
      </w:rPr>
    </w:lvl>
    <w:lvl w:ilvl="1" w:tplc="4B5092B4">
      <w:numFmt w:val="bullet"/>
      <w:lvlText w:val="•"/>
      <w:lvlJc w:val="left"/>
      <w:pPr>
        <w:ind w:left="1298" w:hanging="279"/>
      </w:pPr>
      <w:rPr>
        <w:rFonts w:hint="default"/>
        <w:lang w:val="ru-RU" w:eastAsia="en-US" w:bidi="ar-SA"/>
      </w:rPr>
    </w:lvl>
    <w:lvl w:ilvl="2" w:tplc="9CE8F1A2">
      <w:numFmt w:val="bullet"/>
      <w:lvlText w:val="•"/>
      <w:lvlJc w:val="left"/>
      <w:pPr>
        <w:ind w:left="2217" w:hanging="279"/>
      </w:pPr>
      <w:rPr>
        <w:rFonts w:hint="default"/>
        <w:lang w:val="ru-RU" w:eastAsia="en-US" w:bidi="ar-SA"/>
      </w:rPr>
    </w:lvl>
    <w:lvl w:ilvl="3" w:tplc="609CC39A">
      <w:numFmt w:val="bullet"/>
      <w:lvlText w:val="•"/>
      <w:lvlJc w:val="left"/>
      <w:pPr>
        <w:ind w:left="3135" w:hanging="279"/>
      </w:pPr>
      <w:rPr>
        <w:rFonts w:hint="default"/>
        <w:lang w:val="ru-RU" w:eastAsia="en-US" w:bidi="ar-SA"/>
      </w:rPr>
    </w:lvl>
    <w:lvl w:ilvl="4" w:tplc="8C0A0630">
      <w:numFmt w:val="bullet"/>
      <w:lvlText w:val="•"/>
      <w:lvlJc w:val="left"/>
      <w:pPr>
        <w:ind w:left="4054" w:hanging="279"/>
      </w:pPr>
      <w:rPr>
        <w:rFonts w:hint="default"/>
        <w:lang w:val="ru-RU" w:eastAsia="en-US" w:bidi="ar-SA"/>
      </w:rPr>
    </w:lvl>
    <w:lvl w:ilvl="5" w:tplc="D7B0F90A">
      <w:numFmt w:val="bullet"/>
      <w:lvlText w:val="•"/>
      <w:lvlJc w:val="left"/>
      <w:pPr>
        <w:ind w:left="4973" w:hanging="279"/>
      </w:pPr>
      <w:rPr>
        <w:rFonts w:hint="default"/>
        <w:lang w:val="ru-RU" w:eastAsia="en-US" w:bidi="ar-SA"/>
      </w:rPr>
    </w:lvl>
    <w:lvl w:ilvl="6" w:tplc="8054ACD8">
      <w:numFmt w:val="bullet"/>
      <w:lvlText w:val="•"/>
      <w:lvlJc w:val="left"/>
      <w:pPr>
        <w:ind w:left="5891" w:hanging="279"/>
      </w:pPr>
      <w:rPr>
        <w:rFonts w:hint="default"/>
        <w:lang w:val="ru-RU" w:eastAsia="en-US" w:bidi="ar-SA"/>
      </w:rPr>
    </w:lvl>
    <w:lvl w:ilvl="7" w:tplc="58F89D3A">
      <w:numFmt w:val="bullet"/>
      <w:lvlText w:val="•"/>
      <w:lvlJc w:val="left"/>
      <w:pPr>
        <w:ind w:left="6810" w:hanging="279"/>
      </w:pPr>
      <w:rPr>
        <w:rFonts w:hint="default"/>
        <w:lang w:val="ru-RU" w:eastAsia="en-US" w:bidi="ar-SA"/>
      </w:rPr>
    </w:lvl>
    <w:lvl w:ilvl="8" w:tplc="342AAD5E">
      <w:numFmt w:val="bullet"/>
      <w:lvlText w:val="•"/>
      <w:lvlJc w:val="left"/>
      <w:pPr>
        <w:ind w:left="7729" w:hanging="279"/>
      </w:pPr>
      <w:rPr>
        <w:rFonts w:hint="default"/>
        <w:lang w:val="ru-RU"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2971FB"/>
    <w:rsid w:val="002971FB"/>
    <w:rsid w:val="00B07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6753F"/>
  <w15:docId w15:val="{A5CB1ACB-CCAF-4871-8607-35164CFF4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Tahoma" w:eastAsia="Tahoma" w:hAnsi="Tahoma" w:cs="Tahom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74"/>
      <w:ind w:left="4638"/>
    </w:pPr>
    <w:rPr>
      <w:b/>
      <w:bCs/>
      <w:sz w:val="24"/>
      <w:szCs w:val="24"/>
    </w:rPr>
  </w:style>
  <w:style w:type="paragraph" w:styleId="a5">
    <w:name w:val="List Paragraph"/>
    <w:basedOn w:val="a"/>
    <w:uiPriority w:val="1"/>
    <w:qFormat/>
    <w:pPr>
      <w:ind w:left="102"/>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E8B10-D2DF-4384-88E2-E917DF893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195</Words>
  <Characters>1118</Characters>
  <Application>Microsoft Office Word</Application>
  <DocSecurity>0</DocSecurity>
  <Lines>9</Lines>
  <Paragraphs>2</Paragraphs>
  <ScaleCrop>false</ScaleCrop>
  <Company>MOEX</Company>
  <LinksUpToDate>false</LinksUpToDate>
  <CharactersWithSpaces>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Бордонова Ирина Владимировна</dc:creator>
  <cp:lastModifiedBy>Силаева Светлана Викторовна</cp:lastModifiedBy>
  <cp:revision>2</cp:revision>
  <dcterms:created xsi:type="dcterms:W3CDTF">2024-10-22T12:15:00Z</dcterms:created>
  <dcterms:modified xsi:type="dcterms:W3CDTF">2024-10-25T07:24:00Z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Microsoft® Word для Microsoft 365</vt:lpwstr>
  </property>
  <property fmtid="{D5CDD505-2E9C-101B-9397-08002B2CF9AE}" pid="4" name="LastSaved">
    <vt:filetime>2024-10-22T00:00:00Z</vt:filetime>
  </property>
</Properties>
</file>