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67" w:type="dxa"/>
        <w:jc w:val="center"/>
        <w:tblLook w:val="01E0" w:firstRow="1" w:lastRow="1" w:firstColumn="1" w:lastColumn="1" w:noHBand="0" w:noVBand="0"/>
      </w:tblPr>
      <w:tblGrid>
        <w:gridCol w:w="3653"/>
        <w:gridCol w:w="5114"/>
      </w:tblGrid>
      <w:tr w:rsidR="00A42E81" w:rsidRPr="00A42E81" w:rsidTr="00372594">
        <w:trPr>
          <w:jc w:val="center"/>
        </w:trPr>
        <w:tc>
          <w:tcPr>
            <w:tcW w:w="3653" w:type="dxa"/>
          </w:tcPr>
          <w:p w:rsidR="00A42E81" w:rsidRPr="00A42E81" w:rsidRDefault="00A42E81" w:rsidP="00A42E81">
            <w:pPr>
              <w:pStyle w:val="Iauiue"/>
              <w:tabs>
                <w:tab w:val="left" w:pos="4253"/>
              </w:tabs>
              <w:spacing w:before="120" w:after="120"/>
              <w:rPr>
                <w:rFonts w:ascii="Tahoma" w:hAnsi="Tahoma" w:cs="Tahoma"/>
                <w:sz w:val="22"/>
                <w:szCs w:val="22"/>
                <w:lang w:val="ru-RU"/>
              </w:rPr>
            </w:pPr>
          </w:p>
        </w:tc>
        <w:tc>
          <w:tcPr>
            <w:tcW w:w="5114" w:type="dxa"/>
          </w:tcPr>
          <w:p w:rsidR="00A42E81" w:rsidRPr="00A42E81" w:rsidRDefault="00A42E81" w:rsidP="00A42E81">
            <w:pPr>
              <w:widowControl w:val="0"/>
              <w:spacing w:before="120" w:after="120"/>
              <w:ind w:left="708"/>
              <w:rPr>
                <w:rFonts w:ascii="Tahoma" w:hAnsi="Tahoma" w:cs="Tahoma"/>
                <w:b/>
                <w:sz w:val="22"/>
                <w:szCs w:val="22"/>
              </w:rPr>
            </w:pPr>
            <w:r w:rsidRPr="00A42E81">
              <w:rPr>
                <w:rFonts w:ascii="Tahoma" w:hAnsi="Tahoma" w:cs="Tahoma"/>
                <w:b/>
                <w:sz w:val="22"/>
              </w:rPr>
              <w:t>APPROVED</w:t>
            </w:r>
          </w:p>
          <w:p w:rsidR="00A42E81" w:rsidRPr="00A42E81" w:rsidRDefault="00A42E81" w:rsidP="00A42E81">
            <w:pPr>
              <w:widowControl w:val="0"/>
              <w:spacing w:before="120" w:after="120"/>
              <w:ind w:left="708"/>
              <w:rPr>
                <w:rFonts w:ascii="Tahoma" w:hAnsi="Tahoma" w:cs="Tahoma"/>
                <w:sz w:val="22"/>
                <w:szCs w:val="22"/>
              </w:rPr>
            </w:pPr>
          </w:p>
          <w:p w:rsidR="00A42E81" w:rsidRPr="00A42E81" w:rsidRDefault="00A42E81" w:rsidP="00A42E81">
            <w:pPr>
              <w:widowControl w:val="0"/>
              <w:spacing w:before="120" w:after="120"/>
              <w:ind w:left="708"/>
              <w:rPr>
                <w:rFonts w:ascii="Tahoma" w:hAnsi="Tahoma" w:cs="Tahoma"/>
                <w:sz w:val="22"/>
                <w:szCs w:val="22"/>
              </w:rPr>
            </w:pPr>
            <w:r w:rsidRPr="00A42E81">
              <w:rPr>
                <w:rFonts w:ascii="Tahoma" w:hAnsi="Tahoma" w:cs="Tahoma"/>
                <w:sz w:val="22"/>
              </w:rPr>
              <w:t>By the Moscow Exchange Executive Board</w:t>
            </w:r>
          </w:p>
          <w:p w:rsidR="00A42E81" w:rsidRPr="00A42E81" w:rsidRDefault="00A42E81" w:rsidP="00A42E81">
            <w:pPr>
              <w:widowControl w:val="0"/>
              <w:spacing w:before="120" w:after="120"/>
              <w:ind w:left="708"/>
              <w:rPr>
                <w:rFonts w:ascii="Tahoma" w:hAnsi="Tahoma" w:cs="Tahoma"/>
                <w:sz w:val="22"/>
                <w:szCs w:val="22"/>
              </w:rPr>
            </w:pPr>
            <w:r w:rsidRPr="00A42E81">
              <w:rPr>
                <w:rFonts w:ascii="Tahoma" w:hAnsi="Tahoma" w:cs="Tahoma"/>
                <w:sz w:val="22"/>
              </w:rPr>
              <w:t>23 January 2025, Minutes No. 4</w:t>
            </w:r>
          </w:p>
          <w:p w:rsidR="00A42E81" w:rsidRPr="00A42E81" w:rsidRDefault="00A42E81" w:rsidP="00A42E81">
            <w:pPr>
              <w:widowControl w:val="0"/>
              <w:spacing w:before="120" w:after="120"/>
              <w:ind w:left="708"/>
              <w:rPr>
                <w:rFonts w:ascii="Tahoma" w:hAnsi="Tahoma" w:cs="Tahoma"/>
                <w:sz w:val="22"/>
                <w:szCs w:val="22"/>
              </w:rPr>
            </w:pPr>
          </w:p>
          <w:p w:rsidR="00A42E81" w:rsidRPr="00A42E81" w:rsidRDefault="00A42E81" w:rsidP="00A42E81">
            <w:pPr>
              <w:widowControl w:val="0"/>
              <w:spacing w:before="120" w:after="120"/>
              <w:ind w:left="708"/>
              <w:rPr>
                <w:rFonts w:ascii="Tahoma" w:hAnsi="Tahoma" w:cs="Tahoma"/>
                <w:sz w:val="22"/>
              </w:rPr>
            </w:pPr>
            <w:r w:rsidRPr="00A42E81">
              <w:rPr>
                <w:rFonts w:ascii="Tahoma" w:hAnsi="Tahoma" w:cs="Tahoma"/>
                <w:sz w:val="22"/>
              </w:rPr>
              <w:t xml:space="preserve">___________________ V. </w:t>
            </w:r>
            <w:proofErr w:type="spellStart"/>
            <w:r w:rsidRPr="00A42E81">
              <w:rPr>
                <w:rFonts w:ascii="Tahoma" w:hAnsi="Tahoma" w:cs="Tahoma"/>
                <w:sz w:val="22"/>
              </w:rPr>
              <w:t>Zhidkov</w:t>
            </w:r>
            <w:proofErr w:type="spellEnd"/>
            <w:r w:rsidRPr="00A42E81">
              <w:rPr>
                <w:rFonts w:ascii="Tahoma" w:hAnsi="Tahoma" w:cs="Tahoma"/>
                <w:sz w:val="22"/>
              </w:rPr>
              <w:t xml:space="preserve"> </w:t>
            </w:r>
          </w:p>
          <w:p w:rsidR="00A42E81" w:rsidRPr="00A42E81" w:rsidRDefault="00A42E81" w:rsidP="00A42E81">
            <w:pPr>
              <w:widowControl w:val="0"/>
              <w:spacing w:before="120" w:after="120"/>
              <w:ind w:left="708"/>
              <w:rPr>
                <w:rFonts w:ascii="Tahoma" w:hAnsi="Tahoma" w:cs="Tahoma"/>
                <w:sz w:val="22"/>
                <w:szCs w:val="22"/>
              </w:rPr>
            </w:pPr>
            <w:r w:rsidRPr="00A42E81">
              <w:rPr>
                <w:rFonts w:ascii="Tahoma" w:hAnsi="Tahoma" w:cs="Tahoma"/>
                <w:sz w:val="22"/>
              </w:rPr>
              <w:t>CEO of Moscow Exchange</w:t>
            </w:r>
          </w:p>
          <w:p w:rsidR="00A42E81" w:rsidRPr="00A42E81" w:rsidRDefault="00A42E81" w:rsidP="00A42E81">
            <w:pPr>
              <w:widowControl w:val="0"/>
              <w:spacing w:before="120" w:after="120"/>
              <w:ind w:left="708"/>
              <w:rPr>
                <w:rFonts w:ascii="Tahoma" w:hAnsi="Tahoma" w:cs="Tahoma"/>
                <w:sz w:val="22"/>
                <w:szCs w:val="22"/>
              </w:rPr>
            </w:pPr>
          </w:p>
          <w:p w:rsidR="00A42E81" w:rsidRPr="00A42E81" w:rsidRDefault="00A42E81" w:rsidP="00A42E81">
            <w:pPr>
              <w:pStyle w:val="Iauiue"/>
              <w:spacing w:before="120" w:after="120"/>
              <w:rPr>
                <w:rFonts w:ascii="Tahoma" w:hAnsi="Tahoma" w:cs="Tahoma"/>
                <w:b/>
                <w:sz w:val="22"/>
                <w:szCs w:val="22"/>
                <w:lang w:val="en-US"/>
              </w:rPr>
            </w:pPr>
          </w:p>
        </w:tc>
      </w:tr>
    </w:tbl>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Default="00A42E81" w:rsidP="00A42E81">
      <w:pPr>
        <w:spacing w:before="120" w:after="120"/>
        <w:jc w:val="center"/>
        <w:rPr>
          <w:rFonts w:ascii="Tahoma" w:hAnsi="Tahoma" w:cs="Tahoma"/>
          <w:b/>
        </w:rPr>
      </w:pPr>
      <w:r w:rsidRPr="00A42E81">
        <w:rPr>
          <w:rFonts w:ascii="Tahoma" w:hAnsi="Tahoma" w:cs="Tahoma"/>
          <w:b/>
        </w:rPr>
        <w:t xml:space="preserve">MOEX RUSFAR Cumulative Return Indices </w:t>
      </w:r>
    </w:p>
    <w:p w:rsidR="00A42E81" w:rsidRPr="00A42E81" w:rsidRDefault="00A42E81" w:rsidP="00A42E81">
      <w:pPr>
        <w:spacing w:before="120" w:after="120"/>
        <w:jc w:val="center"/>
        <w:rPr>
          <w:rFonts w:ascii="Tahoma" w:hAnsi="Tahoma" w:cs="Tahoma"/>
          <w:b/>
        </w:rPr>
      </w:pPr>
      <w:r w:rsidRPr="00A42E81">
        <w:rPr>
          <w:rFonts w:ascii="Tahoma" w:hAnsi="Tahoma" w:cs="Tahoma"/>
          <w:b/>
        </w:rPr>
        <w:t>Calculation Methodology</w:t>
      </w: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pStyle w:val="a3"/>
        <w:spacing w:before="120"/>
        <w:jc w:val="center"/>
        <w:rPr>
          <w:rFonts w:ascii="Tahoma" w:hAnsi="Tahoma" w:cs="Tahoma"/>
        </w:rPr>
      </w:pPr>
      <w:r w:rsidRPr="00A42E81">
        <w:rPr>
          <w:rFonts w:ascii="Tahoma" w:hAnsi="Tahoma" w:cs="Tahoma"/>
          <w:sz w:val="22"/>
        </w:rPr>
        <w:t>MOSCOW EXCHANGE 2025</w:t>
      </w:r>
      <w:r w:rsidRPr="00A42E81">
        <w:rPr>
          <w:rFonts w:ascii="Tahoma" w:hAnsi="Tahoma" w:cs="Tahoma"/>
        </w:rPr>
        <w:br w:type="page"/>
      </w:r>
    </w:p>
    <w:p w:rsidR="00A42E81" w:rsidRPr="00A42E81" w:rsidRDefault="00A42E81" w:rsidP="00A42E81">
      <w:pPr>
        <w:pStyle w:val="3"/>
        <w:spacing w:beforeLines="50" w:after="120"/>
        <w:ind w:left="360"/>
        <w:rPr>
          <w:rFonts w:ascii="Tahoma" w:hAnsi="Tahoma" w:cs="Tahoma"/>
          <w:sz w:val="22"/>
          <w:szCs w:val="22"/>
        </w:rPr>
      </w:pPr>
      <w:bookmarkStart w:id="0" w:name="_Toc2697175"/>
      <w:bookmarkStart w:id="1" w:name="_Toc2697838"/>
      <w:bookmarkEnd w:id="0"/>
      <w:bookmarkEnd w:id="1"/>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This Methodology defines the procedure for calculation by Public Joint Stock Company Moscow Exchange MICEX-RTS (the "Exchange" or "MOEX") of the RUSFAR Cumulative Return Indices (the "Indices") based on information about the values of RUSFAR, the benchmarks of the market for repo with central counterparty, calculated by MOEX.</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This Methodology, as well as all amendments and additions thereto, shall be approved by the Exchange and shall come into effect on a date determined by the Exchange.</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The names of the Indices, the RUSFAR benchmarks used to calculate the Indices (the "RUSFAR Benchmarks") and the currency in which the Indices are calculated are given in Appendix 1 to the Methodology.</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 xml:space="preserve">This Methodology as amended from time to time is subject to recommendations of the Repo and Securities Lending Committee of the Exchange. </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Activities related to the construction and calculation of Indices and changes in this methodology are based on a set of administrative principles and rules described in the Moscow Exchange's Index Management Policy.</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The text of the approved Methodology is published by the Exchange no later than three business days before its effective date, unless otherwise determined by a decision of the authorised body of the Exchange.</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Terms and definitions used in the Methodology shall be used in accordance with their meanings given in internal documents of the Exchange, as well as the laws of the Russian Federation, the Bank of Russia regulations and other legal acts of the Russian Federation.</w:t>
      </w:r>
    </w:p>
    <w:p w:rsidR="00A42E81" w:rsidRPr="00A42E81" w:rsidRDefault="00A42E81" w:rsidP="00A42E81">
      <w:pPr>
        <w:pStyle w:val="3"/>
        <w:numPr>
          <w:ilvl w:val="0"/>
          <w:numId w:val="1"/>
        </w:numPr>
        <w:spacing w:beforeLines="50" w:after="120"/>
        <w:rPr>
          <w:rFonts w:ascii="Tahoma" w:hAnsi="Tahoma" w:cs="Tahoma"/>
          <w:sz w:val="22"/>
          <w:szCs w:val="22"/>
        </w:rPr>
      </w:pPr>
      <w:bookmarkStart w:id="2" w:name="_Toc182505892"/>
      <w:bookmarkStart w:id="3" w:name="_Toc182505893"/>
      <w:bookmarkStart w:id="4" w:name="_Toc182505894"/>
      <w:bookmarkStart w:id="5" w:name="_Toc182505895"/>
      <w:bookmarkStart w:id="6" w:name="_Toc182505896"/>
      <w:bookmarkStart w:id="7" w:name="_Toc182505897"/>
      <w:bookmarkStart w:id="8" w:name="_Toc182505898"/>
      <w:bookmarkStart w:id="9" w:name="_Toc182505899"/>
      <w:bookmarkStart w:id="10" w:name="_Toc182505900"/>
      <w:bookmarkStart w:id="11" w:name="_Toc182505901"/>
      <w:bookmarkStart w:id="12" w:name="_Toc182505902"/>
      <w:bookmarkStart w:id="13" w:name="_Toc182505903"/>
      <w:bookmarkStart w:id="14" w:name="_Toc182505904"/>
      <w:bookmarkStart w:id="15" w:name="_Toc182505905"/>
      <w:bookmarkStart w:id="16" w:name="_Toc2697791"/>
      <w:bookmarkStart w:id="17" w:name="_Toc2697841"/>
      <w:bookmarkStart w:id="18" w:name="_Toc403741514"/>
      <w:bookmarkStart w:id="19" w:name="_Toc403742084"/>
      <w:bookmarkStart w:id="20" w:name="_Toc403742357"/>
      <w:bookmarkStart w:id="21" w:name="_Toc403743417"/>
      <w:bookmarkStart w:id="22" w:name="п_2_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42E81">
        <w:rPr>
          <w:rFonts w:ascii="Tahoma" w:hAnsi="Tahoma" w:cs="Tahoma"/>
          <w:sz w:val="22"/>
        </w:rPr>
        <w:t>The Indices are calculated using the following formula:</w:t>
      </w:r>
    </w:p>
    <w:p w:rsidR="00A42E81" w:rsidRPr="00A42E81" w:rsidRDefault="00A42E81" w:rsidP="00A42E81">
      <w:pPr>
        <w:spacing w:before="120" w:after="120"/>
        <w:jc w:val="both"/>
        <w:rPr>
          <w:rStyle w:val="ac"/>
          <w:rFonts w:ascii="Tahoma" w:hAnsi="Tahoma" w:cs="Tahoma"/>
          <w:sz w:val="22"/>
          <w:szCs w:val="22"/>
        </w:rPr>
      </w:pPr>
    </w:p>
    <w:p w:rsidR="00A42E81" w:rsidRPr="00A42E81" w:rsidRDefault="00A42E81" w:rsidP="00A42E81">
      <w:pPr>
        <w:spacing w:before="120" w:after="120"/>
        <w:ind w:left="972"/>
        <w:jc w:val="center"/>
        <w:rPr>
          <w:rFonts w:ascii="Tahoma" w:hAnsi="Tahoma" w:cs="Tahoma"/>
          <w:sz w:val="22"/>
          <w:szCs w:val="22"/>
        </w:rPr>
      </w:pPr>
      <m:oMathPara>
        <m:oMath>
          <m:sSub>
            <m:sSubPr>
              <m:ctrlPr>
                <w:rPr>
                  <w:rFonts w:ascii="Cambria Math" w:hAnsi="Cambria Math" w:cs="Tahoma"/>
                  <w:i/>
                  <w:sz w:val="22"/>
                  <w:szCs w:val="22"/>
                  <w:lang w:val="en-US"/>
                </w:rPr>
              </m:ctrlPr>
            </m:sSubPr>
            <m:e>
              <m:r>
                <w:rPr>
                  <w:rFonts w:ascii="Cambria Math" w:hAnsi="Cambria Math" w:cs="Tahoma"/>
                  <w:sz w:val="22"/>
                  <w:szCs w:val="22"/>
                  <w:lang w:val="en-US"/>
                </w:rPr>
                <m:t>PI</m:t>
              </m:r>
            </m:e>
            <m:sub>
              <m:r>
                <w:rPr>
                  <w:rFonts w:ascii="Cambria Math" w:hAnsi="Cambria Math" w:cs="Tahoma"/>
                  <w:sz w:val="22"/>
                  <w:szCs w:val="22"/>
                  <w:lang w:val="en-US"/>
                </w:rPr>
                <m:t>n</m:t>
              </m:r>
            </m:sub>
          </m:sSub>
          <m:r>
            <w:rPr>
              <w:rFonts w:ascii="Cambria Math" w:hAnsi="Cambria Math" w:cs="Tahoma"/>
              <w:sz w:val="22"/>
              <w:szCs w:val="22"/>
            </w:rPr>
            <m:t>=</m:t>
          </m:r>
          <m:sSub>
            <m:sSubPr>
              <m:ctrlPr>
                <w:rPr>
                  <w:rFonts w:ascii="Cambria Math" w:hAnsi="Cambria Math" w:cs="Tahoma"/>
                  <w:i/>
                  <w:sz w:val="22"/>
                  <w:szCs w:val="22"/>
                  <w:lang w:val="en-US"/>
                </w:rPr>
              </m:ctrlPr>
            </m:sSubPr>
            <m:e>
              <m:r>
                <w:rPr>
                  <w:rFonts w:ascii="Cambria Math" w:hAnsi="Cambria Math" w:cs="Tahoma"/>
                  <w:sz w:val="22"/>
                  <w:szCs w:val="22"/>
                </w:rPr>
                <m:t>P</m:t>
              </m:r>
              <m:r>
                <w:rPr>
                  <w:rFonts w:ascii="Cambria Math" w:hAnsi="Cambria Math" w:cs="Tahoma"/>
                  <w:sz w:val="22"/>
                  <w:szCs w:val="22"/>
                  <w:lang w:val="en-US"/>
                </w:rPr>
                <m:t>I</m:t>
              </m:r>
            </m:e>
            <m:sub>
              <m:r>
                <w:rPr>
                  <w:rFonts w:ascii="Cambria Math" w:hAnsi="Cambria Math" w:cs="Tahoma"/>
                  <w:sz w:val="22"/>
                  <w:szCs w:val="22"/>
                  <w:lang w:val="en-US"/>
                </w:rPr>
                <m:t>n-1</m:t>
              </m:r>
            </m:sub>
          </m:sSub>
          <m:r>
            <w:rPr>
              <w:rFonts w:ascii="Cambria Math" w:hAnsi="Cambria Math" w:cs="Tahoma"/>
              <w:sz w:val="22"/>
              <w:szCs w:val="22"/>
            </w:rPr>
            <m:t xml:space="preserve"> ∙(1+</m:t>
          </m:r>
          <m:sSub>
            <m:sSubPr>
              <m:ctrlPr>
                <w:rPr>
                  <w:rFonts w:ascii="Cambria Math" w:hAnsi="Cambria Math" w:cs="Tahoma"/>
                  <w:i/>
                  <w:sz w:val="22"/>
                  <w:szCs w:val="22"/>
                  <w:lang w:val="en-US"/>
                </w:rPr>
              </m:ctrlPr>
            </m:sSubPr>
            <m:e>
              <m:r>
                <w:rPr>
                  <w:rFonts w:ascii="Cambria Math" w:hAnsi="Cambria Math" w:cs="Tahoma"/>
                  <w:sz w:val="22"/>
                  <w:szCs w:val="22"/>
                  <w:lang w:val="en-US"/>
                </w:rPr>
                <m:t>RUSFAR</m:t>
              </m:r>
            </m:e>
            <m:sub>
              <m:r>
                <w:rPr>
                  <w:rFonts w:ascii="Cambria Math" w:hAnsi="Cambria Math" w:cs="Tahoma"/>
                  <w:sz w:val="22"/>
                  <w:szCs w:val="22"/>
                  <w:lang w:val="en-US"/>
                </w:rPr>
                <m:t>n-1</m:t>
              </m:r>
            </m:sub>
          </m:sSub>
          <m:r>
            <w:rPr>
              <w:rFonts w:ascii="Cambria Math" w:hAnsi="Cambria Math" w:cs="Tahoma"/>
              <w:sz w:val="22"/>
              <w:szCs w:val="22"/>
            </w:rPr>
            <m:t>∙</m:t>
          </m:r>
          <m:d>
            <m:dPr>
              <m:ctrlPr>
                <w:rPr>
                  <w:rFonts w:ascii="Cambria Math" w:hAnsi="Cambria Math" w:cs="Tahoma"/>
                  <w:i/>
                  <w:sz w:val="22"/>
                  <w:szCs w:val="22"/>
                </w:rPr>
              </m:ctrlPr>
            </m:dPr>
            <m:e>
              <w:bookmarkStart w:id="23" w:name="_Hlk182544466"/>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D</m:t>
                      </m:r>
                    </m:e>
                    <m:sub>
                      <m:r>
                        <w:rPr>
                          <w:rFonts w:ascii="Cambria Math" w:hAnsi="Cambria Math" w:cs="Tahoma"/>
                          <w:sz w:val="22"/>
                          <w:szCs w:val="22"/>
                        </w:rPr>
                        <m:t>norm</m:t>
                      </m:r>
                    </m:sub>
                  </m:sSub>
                </m:num>
                <m:den>
                  <m:r>
                    <w:rPr>
                      <w:rFonts w:ascii="Cambria Math" w:hAnsi="Cambria Math" w:cs="Tahoma"/>
                      <w:sz w:val="22"/>
                      <w:szCs w:val="22"/>
                    </w:rPr>
                    <m:t>365</m:t>
                  </m:r>
                </m:den>
              </m:f>
              <w:bookmarkEnd w:id="23"/>
              <m:r>
                <w:rPr>
                  <w:rFonts w:ascii="Cambria Math" w:hAnsi="Cambria Math" w:cs="Tahoma"/>
                  <w:sz w:val="22"/>
                  <w:szCs w:val="22"/>
                </w:rPr>
                <m:t>+</m:t>
              </m:r>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D</m:t>
                      </m:r>
                    </m:e>
                    <m:sub>
                      <m:r>
                        <w:rPr>
                          <w:rFonts w:ascii="Cambria Math" w:hAnsi="Cambria Math" w:cs="Tahoma"/>
                          <w:sz w:val="22"/>
                          <w:szCs w:val="22"/>
                          <w:lang w:val="en-US"/>
                        </w:rPr>
                        <m:t>leap</m:t>
                      </m:r>
                    </m:sub>
                  </m:sSub>
                </m:num>
                <m:den>
                  <m:r>
                    <w:rPr>
                      <w:rFonts w:ascii="Cambria Math" w:hAnsi="Cambria Math" w:cs="Tahoma"/>
                      <w:sz w:val="22"/>
                      <w:szCs w:val="22"/>
                    </w:rPr>
                    <m:t>366</m:t>
                  </m:r>
                </m:den>
              </m:f>
              <m:r>
                <w:rPr>
                  <w:rFonts w:ascii="Cambria Math" w:hAnsi="Cambria Math" w:cs="Tahoma"/>
                  <w:sz w:val="22"/>
                  <w:szCs w:val="22"/>
                </w:rPr>
                <m:t xml:space="preserve"> </m:t>
              </m:r>
            </m:e>
          </m:d>
          <m:r>
            <w:rPr>
              <w:rFonts w:ascii="Cambria Math" w:hAnsi="Cambria Math" w:cs="Tahoma"/>
              <w:sz w:val="22"/>
              <w:szCs w:val="22"/>
            </w:rPr>
            <m:t>)</m:t>
          </m:r>
        </m:oMath>
      </m:oMathPara>
    </w:p>
    <w:p w:rsidR="00A42E81" w:rsidRPr="00A42E81" w:rsidRDefault="00A42E81" w:rsidP="00A42E81">
      <w:pPr>
        <w:pStyle w:val="aa"/>
        <w:spacing w:before="120"/>
        <w:rPr>
          <w:rFonts w:cs="Tahoma"/>
          <w:sz w:val="22"/>
          <w:szCs w:val="22"/>
        </w:rPr>
      </w:pPr>
      <w:r w:rsidRPr="00A42E81">
        <w:rPr>
          <w:rFonts w:cs="Tahoma"/>
          <w:sz w:val="22"/>
        </w:rPr>
        <w:t>where:</w:t>
      </w:r>
    </w:p>
    <w:p w:rsidR="00A42E81" w:rsidRPr="00A42E81" w:rsidRDefault="00A42E81" w:rsidP="00A42E81">
      <w:pPr>
        <w:pStyle w:val="aa"/>
        <w:spacing w:before="120"/>
        <w:rPr>
          <w:rFonts w:cs="Tahoma"/>
          <w:sz w:val="22"/>
          <w:szCs w:val="22"/>
        </w:rPr>
      </w:pPr>
      <w:proofErr w:type="spellStart"/>
      <w:r w:rsidRPr="00A42E81">
        <w:rPr>
          <w:rFonts w:cs="Tahoma"/>
          <w:sz w:val="22"/>
        </w:rPr>
        <w:t>PI</w:t>
      </w:r>
      <w:r w:rsidRPr="00A42E81">
        <w:rPr>
          <w:rFonts w:cs="Tahoma"/>
          <w:sz w:val="22"/>
          <w:vertAlign w:val="subscript"/>
        </w:rPr>
        <w:t>n</w:t>
      </w:r>
      <w:proofErr w:type="spellEnd"/>
      <w:r w:rsidRPr="00A42E81">
        <w:rPr>
          <w:rFonts w:cs="Tahoma"/>
          <w:sz w:val="22"/>
        </w:rPr>
        <w:t xml:space="preserve"> is the Index value on Day n, expressed in the Index currency;</w:t>
      </w:r>
    </w:p>
    <w:p w:rsidR="00A42E81" w:rsidRPr="00A42E81" w:rsidRDefault="00A42E81" w:rsidP="00A42E81">
      <w:pPr>
        <w:pStyle w:val="aa"/>
        <w:spacing w:before="120"/>
        <w:rPr>
          <w:rFonts w:cs="Tahoma"/>
          <w:sz w:val="22"/>
          <w:szCs w:val="22"/>
        </w:rPr>
      </w:pPr>
      <w:r w:rsidRPr="00A42E81">
        <w:rPr>
          <w:rFonts w:cs="Tahoma"/>
          <w:sz w:val="22"/>
        </w:rPr>
        <w:t>P</w:t>
      </w:r>
      <w:r w:rsidRPr="00A42E81">
        <w:rPr>
          <w:rFonts w:cs="Tahoma"/>
          <w:sz w:val="22"/>
          <w:vertAlign w:val="subscript"/>
        </w:rPr>
        <w:t>n-1</w:t>
      </w:r>
      <w:r w:rsidRPr="00A42E81">
        <w:rPr>
          <w:rFonts w:cs="Tahoma"/>
          <w:sz w:val="22"/>
        </w:rPr>
        <w:t xml:space="preserve"> he Index value on Day n-1, expressed in the Index currency;</w:t>
      </w:r>
    </w:p>
    <w:p w:rsidR="00A42E81" w:rsidRPr="00A42E81" w:rsidRDefault="00A42E81" w:rsidP="00A42E81">
      <w:pPr>
        <w:pStyle w:val="aa"/>
        <w:spacing w:before="120"/>
        <w:rPr>
          <w:rFonts w:cs="Tahoma"/>
          <w:sz w:val="22"/>
          <w:szCs w:val="22"/>
        </w:rPr>
      </w:pPr>
      <w:r w:rsidRPr="00A42E81">
        <w:rPr>
          <w:rFonts w:cs="Tahoma"/>
          <w:sz w:val="22"/>
        </w:rPr>
        <w:t>RUSFAR</w:t>
      </w:r>
      <w:r w:rsidRPr="00A42E81">
        <w:rPr>
          <w:rFonts w:cs="Tahoma"/>
          <w:sz w:val="22"/>
          <w:vertAlign w:val="subscript"/>
        </w:rPr>
        <w:t>n-1</w:t>
      </w:r>
      <w:r w:rsidRPr="00A42E81">
        <w:rPr>
          <w:rFonts w:cs="Tahoma"/>
          <w:sz w:val="22"/>
        </w:rPr>
        <w:t xml:space="preserve"> is the value of the RUSFAR Benchmark on Day n-1, expressed in hundredths;</w:t>
      </w:r>
    </w:p>
    <w:p w:rsidR="00A42E81" w:rsidRPr="00A42E81" w:rsidRDefault="00A42E81" w:rsidP="00A42E81">
      <w:pPr>
        <w:pStyle w:val="aa"/>
        <w:spacing w:before="120"/>
        <w:rPr>
          <w:rFonts w:cs="Tahoma"/>
          <w:sz w:val="22"/>
          <w:szCs w:val="22"/>
        </w:rPr>
      </w:pPr>
      <w:proofErr w:type="spellStart"/>
      <w:r w:rsidRPr="00A42E81">
        <w:rPr>
          <w:rFonts w:cs="Tahoma"/>
          <w:sz w:val="22"/>
        </w:rPr>
        <w:t>D</w:t>
      </w:r>
      <w:r w:rsidRPr="00A42E81">
        <w:rPr>
          <w:rFonts w:cs="Tahoma"/>
          <w:sz w:val="22"/>
          <w:vertAlign w:val="subscript"/>
        </w:rPr>
        <w:t>norm</w:t>
      </w:r>
      <w:proofErr w:type="spellEnd"/>
      <w:r w:rsidRPr="00A42E81">
        <w:rPr>
          <w:rFonts w:cs="Tahoma"/>
          <w:sz w:val="22"/>
        </w:rPr>
        <w:t xml:space="preserve"> is the number of calendar days from Day n-1 (excluding Day n-1) to Day n (including Day n), referring to a non-leap year;</w:t>
      </w:r>
    </w:p>
    <w:p w:rsidR="00A42E81" w:rsidRPr="00A42E81" w:rsidRDefault="00A42E81" w:rsidP="00A42E81">
      <w:pPr>
        <w:pStyle w:val="aa"/>
        <w:spacing w:before="120"/>
        <w:rPr>
          <w:rFonts w:cs="Tahoma"/>
          <w:sz w:val="22"/>
          <w:szCs w:val="22"/>
        </w:rPr>
      </w:pPr>
      <w:proofErr w:type="spellStart"/>
      <w:r w:rsidRPr="00A42E81">
        <w:rPr>
          <w:rFonts w:cs="Tahoma"/>
          <w:sz w:val="22"/>
        </w:rPr>
        <w:t>D</w:t>
      </w:r>
      <w:r w:rsidRPr="00A42E81">
        <w:rPr>
          <w:rFonts w:cs="Tahoma"/>
          <w:sz w:val="22"/>
          <w:vertAlign w:val="subscript"/>
        </w:rPr>
        <w:t>leap</w:t>
      </w:r>
      <w:proofErr w:type="spellEnd"/>
      <w:r w:rsidRPr="00A42E81">
        <w:rPr>
          <w:rFonts w:cs="Tahoma"/>
          <w:sz w:val="22"/>
        </w:rPr>
        <w:t xml:space="preserve"> is the number of calendar days from Day n-1 (excluding Day n-1) to Day n (including Day n), referring to a leap year;</w:t>
      </w:r>
    </w:p>
    <w:p w:rsidR="00A42E81" w:rsidRPr="00A42E81" w:rsidRDefault="00A42E81" w:rsidP="00A42E81">
      <w:pPr>
        <w:pStyle w:val="aa"/>
        <w:spacing w:before="120"/>
        <w:rPr>
          <w:rFonts w:cs="Tahoma"/>
          <w:sz w:val="22"/>
          <w:szCs w:val="22"/>
        </w:rPr>
      </w:pPr>
    </w:p>
    <w:bookmarkEnd w:id="22"/>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The index values are accurate to two decimal places.</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 xml:space="preserve">Indices are calculated every day that is a calculation day for RUSFAR Benchmarks. </w:t>
      </w:r>
      <w:bookmarkStart w:id="24" w:name="_Toc2697181"/>
      <w:bookmarkStart w:id="25" w:name="_Toc2697348"/>
      <w:bookmarkStart w:id="26" w:name="_Toc2697794"/>
      <w:bookmarkStart w:id="27" w:name="_Toc2697844"/>
      <w:bookmarkStart w:id="28" w:name="_Toc2697182"/>
      <w:bookmarkStart w:id="29" w:name="_Toc2697349"/>
      <w:bookmarkStart w:id="30" w:name="_Toc2697795"/>
      <w:bookmarkStart w:id="31" w:name="_Toc2697845"/>
      <w:bookmarkStart w:id="32" w:name="_Toc2697184"/>
      <w:bookmarkStart w:id="33" w:name="_Toc2697351"/>
      <w:bookmarkStart w:id="34" w:name="_Toc2697797"/>
      <w:bookmarkStart w:id="35" w:name="_Toc2697847"/>
      <w:bookmarkStart w:id="36" w:name="_Toc2697186"/>
      <w:bookmarkStart w:id="37" w:name="_Toc2697353"/>
      <w:bookmarkStart w:id="38" w:name="_Toc2697799"/>
      <w:bookmarkStart w:id="39" w:name="_Toc2697849"/>
      <w:bookmarkStart w:id="40" w:name="_Toc2697192"/>
      <w:bookmarkStart w:id="41" w:name="_Toc2697359"/>
      <w:bookmarkStart w:id="42" w:name="_Toc2697805"/>
      <w:bookmarkStart w:id="43" w:name="_Toc2697855"/>
      <w:bookmarkStart w:id="44" w:name="_Toc2697193"/>
      <w:bookmarkStart w:id="45" w:name="_Toc2697360"/>
      <w:bookmarkStart w:id="46" w:name="_Toc2697806"/>
      <w:bookmarkStart w:id="47" w:name="_Toc2697856"/>
      <w:bookmarkStart w:id="48" w:name="_Toc2697194"/>
      <w:bookmarkStart w:id="49" w:name="_Toc2697361"/>
      <w:bookmarkStart w:id="50" w:name="_Toc2697807"/>
      <w:bookmarkStart w:id="51" w:name="_Toc2697857"/>
      <w:bookmarkStart w:id="52" w:name="_Toc2697195"/>
      <w:bookmarkStart w:id="53" w:name="_Toc2697362"/>
      <w:bookmarkStart w:id="54" w:name="_Toc2697808"/>
      <w:bookmarkStart w:id="55" w:name="_Toc2697858"/>
      <w:bookmarkStart w:id="56" w:name="п_4_7"/>
      <w:bookmarkStart w:id="57" w:name="_Ref1817743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42E81">
        <w:rPr>
          <w:rFonts w:ascii="Tahoma" w:hAnsi="Tahoma" w:cs="Tahoma"/>
          <w:sz w:val="22"/>
        </w:rPr>
        <w:t xml:space="preserve">If there are no RUSFAR Benchmarks </w:t>
      </w:r>
      <w:r w:rsidRPr="00A42E81">
        <w:rPr>
          <w:rFonts w:ascii="Tahoma" w:hAnsi="Tahoma" w:cs="Tahoma"/>
          <w:sz w:val="22"/>
        </w:rPr>
        <w:t>values or</w:t>
      </w:r>
      <w:r w:rsidRPr="00A42E81">
        <w:rPr>
          <w:rFonts w:ascii="Tahoma" w:hAnsi="Tahoma" w:cs="Tahoma"/>
          <w:sz w:val="22"/>
        </w:rPr>
        <w:t xml:space="preserve"> reserve RUSFAR </w:t>
      </w:r>
      <w:r w:rsidRPr="00A42E81">
        <w:rPr>
          <w:rFonts w:ascii="Tahoma" w:hAnsi="Tahoma" w:cs="Tahoma"/>
          <w:sz w:val="22"/>
        </w:rPr>
        <w:t>Benchmarks</w:t>
      </w:r>
      <w:r w:rsidRPr="00A42E81">
        <w:rPr>
          <w:rFonts w:ascii="Tahoma" w:hAnsi="Tahoma" w:cs="Tahoma"/>
          <w:sz w:val="22"/>
        </w:rPr>
        <w:t xml:space="preserve"> values available on the calculation day, the Index values are not calculated.</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 xml:space="preserve">In the event of a technical malfunction in the calculation of the Indices or the RUSFAR </w:t>
      </w:r>
      <w:r w:rsidRPr="00A42E81">
        <w:rPr>
          <w:rFonts w:ascii="Tahoma" w:hAnsi="Tahoma" w:cs="Tahoma"/>
          <w:sz w:val="22"/>
        </w:rPr>
        <w:t>Benchmarks</w:t>
      </w:r>
      <w:r w:rsidRPr="00A42E81">
        <w:rPr>
          <w:rFonts w:ascii="Tahoma" w:hAnsi="Tahoma" w:cs="Tahoma"/>
          <w:sz w:val="22"/>
        </w:rPr>
        <w:t xml:space="preserve"> used to calculate the Indices, resulting in a distortion of the data used to calculate the Indices or the RUSFAR </w:t>
      </w:r>
      <w:r w:rsidRPr="00A42E81">
        <w:rPr>
          <w:rFonts w:ascii="Tahoma" w:hAnsi="Tahoma" w:cs="Tahoma"/>
          <w:sz w:val="22"/>
        </w:rPr>
        <w:t>Benchmarks</w:t>
      </w:r>
      <w:r w:rsidRPr="00A42E81">
        <w:rPr>
          <w:rFonts w:ascii="Tahoma" w:hAnsi="Tahoma" w:cs="Tahoma"/>
          <w:sz w:val="22"/>
        </w:rPr>
        <w:t>, the previously calculated values of the Indices may be recalculated. This recalculation is carried out as soon as possible after the technical failure has been detected. In the event of a recalculation, a notice is published on the official website of the Exchange.</w:t>
      </w:r>
    </w:p>
    <w:p w:rsidR="00A42E81" w:rsidRPr="00A42E81" w:rsidRDefault="00A42E81" w:rsidP="00A42E81">
      <w:pPr>
        <w:pStyle w:val="3"/>
        <w:numPr>
          <w:ilvl w:val="0"/>
          <w:numId w:val="1"/>
        </w:numPr>
        <w:spacing w:beforeLines="50" w:after="120"/>
        <w:rPr>
          <w:rFonts w:ascii="Tahoma" w:hAnsi="Tahoma" w:cs="Tahoma"/>
          <w:sz w:val="22"/>
          <w:szCs w:val="22"/>
        </w:rPr>
      </w:pPr>
      <w:bookmarkStart w:id="58" w:name="_Toc372540155"/>
      <w:bookmarkStart w:id="59" w:name="_Toc372540156"/>
      <w:bookmarkEnd w:id="56"/>
      <w:bookmarkEnd w:id="57"/>
      <w:bookmarkEnd w:id="58"/>
      <w:bookmarkEnd w:id="59"/>
      <w:r w:rsidRPr="00A42E81">
        <w:rPr>
          <w:rFonts w:ascii="Tahoma" w:hAnsi="Tahoma" w:cs="Tahoma"/>
          <w:sz w:val="22"/>
        </w:rPr>
        <w:t>Information on the Index values for the previous calculation day is published on each calculation day of the RUSFAR Indicators no later than 12:00 Moscow time.</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Archived information on Index values for the whole calculation period is published on the official website of the Exchange.</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 xml:space="preserve">The information that must be published on the official website of the Exchange in accordance with this Methodology may also be </w:t>
      </w:r>
      <w:r w:rsidRPr="00A42E81">
        <w:rPr>
          <w:rFonts w:ascii="Tahoma" w:hAnsi="Tahoma" w:cs="Tahoma"/>
          <w:sz w:val="22"/>
        </w:rPr>
        <w:t>disseminated through</w:t>
      </w:r>
      <w:r w:rsidRPr="00A42E81">
        <w:rPr>
          <w:rFonts w:ascii="Tahoma" w:hAnsi="Tahoma" w:cs="Tahoma"/>
          <w:sz w:val="22"/>
        </w:rPr>
        <w:t xml:space="preserve"> other means, including information agencies that disseminate MOEX market data.</w:t>
      </w:r>
    </w:p>
    <w:p w:rsidR="00A42E81" w:rsidRPr="00A42E81" w:rsidRDefault="00A42E81" w:rsidP="00A42E81">
      <w:pPr>
        <w:spacing w:before="120" w:after="120"/>
        <w:rPr>
          <w:rFonts w:ascii="Tahoma" w:hAnsi="Tahoma" w:cs="Tahoma"/>
          <w:b/>
          <w:sz w:val="22"/>
          <w:szCs w:val="22"/>
        </w:rPr>
      </w:pPr>
    </w:p>
    <w:p w:rsidR="00A42E81" w:rsidRPr="00A42E81" w:rsidRDefault="00A42E81" w:rsidP="00A42E81">
      <w:pPr>
        <w:spacing w:before="120" w:after="120"/>
        <w:rPr>
          <w:rFonts w:ascii="Tahoma" w:hAnsi="Tahoma" w:cs="Tahoma"/>
          <w:b/>
          <w:sz w:val="22"/>
          <w:szCs w:val="22"/>
        </w:rPr>
        <w:sectPr w:rsidR="00A42E81" w:rsidRPr="00A42E81" w:rsidSect="004D5F12">
          <w:footerReference w:type="even" r:id="rId5"/>
          <w:footerReference w:type="default" r:id="rId6"/>
          <w:pgSz w:w="11906" w:h="16838"/>
          <w:pgMar w:top="1077" w:right="1134" w:bottom="1077" w:left="1418" w:header="709" w:footer="709" w:gutter="0"/>
          <w:cols w:space="708"/>
          <w:titlePg/>
          <w:docGrid w:linePitch="360"/>
        </w:sectPr>
      </w:pPr>
    </w:p>
    <w:p w:rsidR="00A42E81" w:rsidRPr="00A42E81" w:rsidRDefault="00A42E81" w:rsidP="00A42E81">
      <w:pPr>
        <w:spacing w:before="120" w:after="120"/>
        <w:jc w:val="right"/>
        <w:rPr>
          <w:rFonts w:ascii="Tahoma" w:hAnsi="Tahoma" w:cs="Tahoma"/>
        </w:rPr>
      </w:pPr>
      <w:r w:rsidRPr="00A42E81">
        <w:rPr>
          <w:rFonts w:ascii="Tahoma" w:hAnsi="Tahoma" w:cs="Tahoma"/>
        </w:rPr>
        <w:t>Appendix 1 to the MOEX RUSFAR Cumulative Return Indices Calculation Methodology</w:t>
      </w:r>
    </w:p>
    <w:p w:rsidR="00A42E81" w:rsidRPr="00A42E81" w:rsidRDefault="00A42E81" w:rsidP="00A42E81">
      <w:pPr>
        <w:spacing w:before="120" w:after="120"/>
        <w:jc w:val="right"/>
        <w:rPr>
          <w:rFonts w:ascii="Tahoma" w:hAnsi="Tahoma" w:cs="Tahoma"/>
        </w:rPr>
      </w:pPr>
    </w:p>
    <w:tbl>
      <w:tblPr>
        <w:tblStyle w:val="a5"/>
        <w:tblW w:w="0" w:type="auto"/>
        <w:tblInd w:w="-289" w:type="dxa"/>
        <w:tblLook w:val="04A0" w:firstRow="1" w:lastRow="0" w:firstColumn="1" w:lastColumn="0" w:noHBand="0" w:noVBand="1"/>
      </w:tblPr>
      <w:tblGrid>
        <w:gridCol w:w="1924"/>
        <w:gridCol w:w="2625"/>
        <w:gridCol w:w="2237"/>
        <w:gridCol w:w="2807"/>
        <w:gridCol w:w="1554"/>
        <w:gridCol w:w="1838"/>
        <w:gridCol w:w="1978"/>
      </w:tblGrid>
      <w:tr w:rsidR="00A42E81" w:rsidRPr="00A42E81" w:rsidTr="00372594">
        <w:tc>
          <w:tcPr>
            <w:tcW w:w="1924"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Index code</w:t>
            </w:r>
          </w:p>
        </w:tc>
        <w:tc>
          <w:tcPr>
            <w:tcW w:w="2625"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Name in Russi</w:t>
            </w:r>
            <w:bookmarkStart w:id="60" w:name="_GoBack"/>
            <w:bookmarkEnd w:id="60"/>
            <w:r w:rsidRPr="00A42E81">
              <w:rPr>
                <w:rFonts w:ascii="Tahoma" w:hAnsi="Tahoma" w:cs="Tahoma"/>
                <w:b/>
                <w:sz w:val="20"/>
              </w:rPr>
              <w:t>an</w:t>
            </w:r>
          </w:p>
        </w:tc>
        <w:tc>
          <w:tcPr>
            <w:tcW w:w="2237"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Name in English</w:t>
            </w:r>
          </w:p>
        </w:tc>
        <w:tc>
          <w:tcPr>
            <w:tcW w:w="2807"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RUSFAR Benchmark used for calculation</w:t>
            </w:r>
          </w:p>
        </w:tc>
        <w:tc>
          <w:tcPr>
            <w:tcW w:w="1554"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Currency of calculation</w:t>
            </w:r>
          </w:p>
        </w:tc>
        <w:tc>
          <w:tcPr>
            <w:tcW w:w="1838"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Inception</w:t>
            </w:r>
          </w:p>
        </w:tc>
        <w:tc>
          <w:tcPr>
            <w:tcW w:w="1978"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Inception date</w:t>
            </w:r>
          </w:p>
        </w:tc>
      </w:tr>
      <w:tr w:rsidR="00A42E81" w:rsidRPr="00A42E81" w:rsidTr="00372594">
        <w:tc>
          <w:tcPr>
            <w:tcW w:w="1924"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RUSFARIND</w:t>
            </w:r>
          </w:p>
        </w:tc>
        <w:tc>
          <w:tcPr>
            <w:tcW w:w="2625" w:type="dxa"/>
          </w:tcPr>
          <w:p w:rsidR="00A42E81" w:rsidRPr="00A42E81" w:rsidRDefault="00A42E81" w:rsidP="00A42E81">
            <w:pPr>
              <w:spacing w:beforeLines="50" w:before="120" w:after="120"/>
              <w:jc w:val="both"/>
              <w:rPr>
                <w:rFonts w:ascii="Tahoma" w:hAnsi="Tahoma" w:cs="Tahoma"/>
                <w:sz w:val="20"/>
                <w:szCs w:val="20"/>
              </w:rPr>
            </w:pPr>
            <w:proofErr w:type="spellStart"/>
            <w:r w:rsidRPr="00A42E81">
              <w:rPr>
                <w:rFonts w:ascii="Tahoma" w:hAnsi="Tahoma" w:cs="Tahoma"/>
                <w:sz w:val="20"/>
              </w:rPr>
              <w:t>Индекс</w:t>
            </w:r>
            <w:proofErr w:type="spellEnd"/>
            <w:r w:rsidRPr="00A42E81">
              <w:rPr>
                <w:rFonts w:ascii="Tahoma" w:hAnsi="Tahoma" w:cs="Tahoma"/>
                <w:sz w:val="20"/>
              </w:rPr>
              <w:t xml:space="preserve"> </w:t>
            </w:r>
            <w:proofErr w:type="spellStart"/>
            <w:r w:rsidRPr="00A42E81">
              <w:rPr>
                <w:rFonts w:ascii="Tahoma" w:hAnsi="Tahoma" w:cs="Tahoma"/>
                <w:sz w:val="20"/>
              </w:rPr>
              <w:t>накопленной</w:t>
            </w:r>
            <w:proofErr w:type="spellEnd"/>
            <w:r w:rsidRPr="00A42E81">
              <w:rPr>
                <w:rFonts w:ascii="Tahoma" w:hAnsi="Tahoma" w:cs="Tahoma"/>
                <w:sz w:val="20"/>
              </w:rPr>
              <w:t xml:space="preserve"> </w:t>
            </w:r>
            <w:proofErr w:type="spellStart"/>
            <w:r w:rsidRPr="00A42E81">
              <w:rPr>
                <w:rFonts w:ascii="Tahoma" w:hAnsi="Tahoma" w:cs="Tahoma"/>
                <w:sz w:val="20"/>
              </w:rPr>
              <w:t>доходности</w:t>
            </w:r>
            <w:proofErr w:type="spellEnd"/>
            <w:r w:rsidRPr="00A42E81">
              <w:rPr>
                <w:rFonts w:ascii="Tahoma" w:hAnsi="Tahoma" w:cs="Tahoma"/>
                <w:sz w:val="20"/>
              </w:rPr>
              <w:t xml:space="preserve"> RUSFAR</w:t>
            </w:r>
          </w:p>
        </w:tc>
        <w:tc>
          <w:tcPr>
            <w:tcW w:w="2237"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MOEX RUSFAR Cumulative Return Index</w:t>
            </w:r>
          </w:p>
        </w:tc>
        <w:tc>
          <w:tcPr>
            <w:tcW w:w="2807"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RUSFAR</w:t>
            </w:r>
          </w:p>
        </w:tc>
        <w:tc>
          <w:tcPr>
            <w:tcW w:w="1554"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RUB</w:t>
            </w:r>
          </w:p>
        </w:tc>
        <w:tc>
          <w:tcPr>
            <w:tcW w:w="1838"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1,000</w:t>
            </w:r>
          </w:p>
        </w:tc>
        <w:tc>
          <w:tcPr>
            <w:tcW w:w="1978"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9 January 2018</w:t>
            </w:r>
          </w:p>
        </w:tc>
      </w:tr>
    </w:tbl>
    <w:p w:rsidR="00A42E81" w:rsidRPr="00A42E81" w:rsidRDefault="00A42E81" w:rsidP="00A42E81">
      <w:pPr>
        <w:spacing w:beforeLines="50" w:before="120" w:after="120"/>
        <w:ind w:left="5664"/>
        <w:jc w:val="both"/>
        <w:rPr>
          <w:rFonts w:ascii="Tahoma" w:hAnsi="Tahoma" w:cs="Tahoma"/>
          <w:sz w:val="20"/>
          <w:szCs w:val="20"/>
          <w:lang w:val="en-US"/>
        </w:rPr>
      </w:pPr>
    </w:p>
    <w:p w:rsidR="00A42E81" w:rsidRPr="00A42E81" w:rsidRDefault="00A42E81" w:rsidP="00A42E81">
      <w:pPr>
        <w:spacing w:before="120" w:after="120"/>
        <w:jc w:val="both"/>
        <w:rPr>
          <w:rFonts w:ascii="Tahoma" w:hAnsi="Tahoma" w:cs="Tahoma"/>
          <w:sz w:val="20"/>
          <w:szCs w:val="20"/>
        </w:rPr>
      </w:pPr>
      <w:r w:rsidRPr="00A42E81">
        <w:rPr>
          <w:rFonts w:ascii="Tahoma" w:hAnsi="Tahoma" w:cs="Tahoma"/>
          <w:sz w:val="20"/>
        </w:rPr>
        <w:t>The word mark "MOEX" is a trademark of Moscow Exchange registered by the Federal Service for Intellectual Property in the State Register of Trademarks and Service Marks of the Russian Federation on 29 August 2014 (Trademark Certificate No. 521450).</w:t>
      </w:r>
    </w:p>
    <w:p w:rsidR="00A42E81" w:rsidRPr="00A42E81" w:rsidRDefault="00A42E81" w:rsidP="00A42E81">
      <w:pPr>
        <w:spacing w:before="120" w:after="120"/>
        <w:jc w:val="both"/>
        <w:rPr>
          <w:rFonts w:ascii="Tahoma" w:hAnsi="Tahoma" w:cs="Tahoma"/>
          <w:sz w:val="20"/>
          <w:szCs w:val="20"/>
        </w:rPr>
      </w:pPr>
    </w:p>
    <w:p w:rsidR="00A42E81" w:rsidRPr="00A42E81" w:rsidRDefault="00A42E81" w:rsidP="00A42E81">
      <w:pPr>
        <w:spacing w:before="120" w:after="120"/>
        <w:jc w:val="both"/>
        <w:rPr>
          <w:rFonts w:ascii="Tahoma" w:hAnsi="Tahoma" w:cs="Tahoma"/>
          <w:sz w:val="20"/>
          <w:szCs w:val="20"/>
        </w:rPr>
      </w:pPr>
      <w:r w:rsidRPr="00A42E81">
        <w:rPr>
          <w:rFonts w:ascii="Tahoma" w:hAnsi="Tahoma" w:cs="Tahoma"/>
          <w:sz w:val="20"/>
        </w:rPr>
        <w:t>The word mark "RUSFAR" is a trademark of Moscow Exchange registered by the Federal Service for Intellectual Property in the State Register of Trademarks and Service Marks of the Russian Federation on 11 April 2019 (Trademark Certificate No. 0707709).</w:t>
      </w:r>
    </w:p>
    <w:p w:rsidR="00A42E81" w:rsidRPr="00A42E81" w:rsidRDefault="00A42E81" w:rsidP="00A42E81">
      <w:pPr>
        <w:pStyle w:val="a3"/>
        <w:spacing w:before="120"/>
        <w:jc w:val="both"/>
        <w:rPr>
          <w:rFonts w:ascii="Tahoma" w:hAnsi="Tahoma" w:cs="Tahoma"/>
          <w:sz w:val="26"/>
          <w:szCs w:val="26"/>
          <w:lang w:val="en-US"/>
        </w:rPr>
      </w:pPr>
    </w:p>
    <w:p w:rsidR="001B2E7A" w:rsidRPr="00A42E81" w:rsidRDefault="001B2E7A" w:rsidP="00A42E81">
      <w:pPr>
        <w:spacing w:before="120" w:after="120"/>
        <w:rPr>
          <w:rFonts w:ascii="Tahoma" w:hAnsi="Tahoma" w:cs="Tahoma"/>
          <w:lang w:val="en-US"/>
        </w:rPr>
      </w:pPr>
    </w:p>
    <w:sectPr w:rsidR="001B2E7A" w:rsidRPr="00A42E81" w:rsidSect="004D5F12">
      <w:pgSz w:w="16838" w:h="11906" w:orient="landscape"/>
      <w:pgMar w:top="1418" w:right="1077" w:bottom="1134" w:left="107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B2F" w:rsidRDefault="00A42E81" w:rsidP="002606A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6B2F" w:rsidRDefault="00A42E81" w:rsidP="005258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B2F" w:rsidRPr="006D19CD" w:rsidRDefault="00A42E81" w:rsidP="002606AA">
    <w:pPr>
      <w:pStyle w:val="a6"/>
      <w:framePr w:wrap="around" w:vAnchor="text" w:hAnchor="margin" w:xAlign="right" w:y="1"/>
      <w:rPr>
        <w:rStyle w:val="a8"/>
        <w:rFonts w:ascii="Arial" w:hAnsi="Arial" w:cs="Arial"/>
        <w:sz w:val="20"/>
        <w:szCs w:val="20"/>
      </w:rPr>
    </w:pPr>
    <w:r w:rsidRPr="006D19CD">
      <w:rPr>
        <w:rStyle w:val="a8"/>
        <w:rFonts w:ascii="Arial" w:hAnsi="Arial" w:cs="Arial"/>
        <w:sz w:val="20"/>
      </w:rPr>
      <w:fldChar w:fldCharType="begin"/>
    </w:r>
    <w:r w:rsidRPr="006D19CD">
      <w:rPr>
        <w:rStyle w:val="a8"/>
        <w:rFonts w:ascii="Arial" w:hAnsi="Arial" w:cs="Arial"/>
        <w:sz w:val="20"/>
      </w:rPr>
      <w:instrText xml:space="preserve">PAGE  </w:instrText>
    </w:r>
    <w:r w:rsidRPr="006D19CD">
      <w:rPr>
        <w:rStyle w:val="a8"/>
        <w:rFonts w:ascii="Arial" w:hAnsi="Arial" w:cs="Arial"/>
        <w:sz w:val="20"/>
      </w:rPr>
      <w:fldChar w:fldCharType="separate"/>
    </w:r>
    <w:r>
      <w:rPr>
        <w:rStyle w:val="a8"/>
        <w:rFonts w:ascii="Arial" w:hAnsi="Arial" w:cs="Arial"/>
        <w:sz w:val="20"/>
      </w:rPr>
      <w:t>12</w:t>
    </w:r>
    <w:r w:rsidRPr="006D19CD">
      <w:rPr>
        <w:rStyle w:val="a8"/>
        <w:rFonts w:ascii="Arial" w:hAnsi="Arial" w:cs="Arial"/>
        <w:sz w:val="20"/>
      </w:rPr>
      <w:fldChar w:fldCharType="end"/>
    </w:r>
  </w:p>
  <w:p w:rsidR="000A6B2F" w:rsidRDefault="00A42E81" w:rsidP="0052580F">
    <w:pPr>
      <w:pStyle w:val="a6"/>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C289A"/>
    <w:multiLevelType w:val="multilevel"/>
    <w:tmpl w:val="CD560EA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81"/>
    <w:rsid w:val="00105E8F"/>
    <w:rsid w:val="001B2E7A"/>
    <w:rsid w:val="001C7C7B"/>
    <w:rsid w:val="00541D2C"/>
    <w:rsid w:val="005A17FD"/>
    <w:rsid w:val="0071052F"/>
    <w:rsid w:val="009500B1"/>
    <w:rsid w:val="00A42E81"/>
    <w:rsid w:val="00EB38EB"/>
    <w:rsid w:val="00FC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57C"/>
  <w15:chartTrackingRefBased/>
  <w15:docId w15:val="{6CB44CBA-F87A-49E5-A8E5-25DE6641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E81"/>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42E81"/>
    <w:pPr>
      <w:spacing w:before="120"/>
      <w:jc w:val="both"/>
    </w:pPr>
    <w:rPr>
      <w:rFonts w:ascii="Arial" w:hAnsi="Arial" w:cs="Arial"/>
      <w:sz w:val="20"/>
      <w:szCs w:val="20"/>
    </w:rPr>
  </w:style>
  <w:style w:type="character" w:customStyle="1" w:styleId="30">
    <w:name w:val="Основной текст 3 Знак"/>
    <w:basedOn w:val="a0"/>
    <w:link w:val="3"/>
    <w:rsid w:val="00A42E81"/>
    <w:rPr>
      <w:rFonts w:ascii="Arial" w:eastAsia="Times New Roman" w:hAnsi="Arial" w:cs="Arial"/>
      <w:sz w:val="20"/>
      <w:szCs w:val="20"/>
      <w:lang w:val="en-GB" w:eastAsia="ru-RU"/>
    </w:rPr>
  </w:style>
  <w:style w:type="paragraph" w:styleId="a3">
    <w:name w:val="Body Text"/>
    <w:basedOn w:val="a"/>
    <w:link w:val="a4"/>
    <w:rsid w:val="00A42E81"/>
    <w:pPr>
      <w:spacing w:after="120"/>
    </w:pPr>
    <w:rPr>
      <w:szCs w:val="20"/>
      <w:lang w:eastAsia="x-none"/>
    </w:rPr>
  </w:style>
  <w:style w:type="character" w:customStyle="1" w:styleId="a4">
    <w:name w:val="Основной текст Знак"/>
    <w:basedOn w:val="a0"/>
    <w:link w:val="a3"/>
    <w:rsid w:val="00A42E81"/>
    <w:rPr>
      <w:rFonts w:ascii="Times New Roman" w:eastAsia="Times New Roman" w:hAnsi="Times New Roman" w:cs="Times New Roman"/>
      <w:sz w:val="24"/>
      <w:szCs w:val="20"/>
      <w:lang w:val="en-GB" w:eastAsia="x-none"/>
    </w:rPr>
  </w:style>
  <w:style w:type="table" w:styleId="a5">
    <w:name w:val="Table Grid"/>
    <w:basedOn w:val="a1"/>
    <w:uiPriority w:val="59"/>
    <w:rsid w:val="00A42E81"/>
    <w:pPr>
      <w:spacing w:after="0" w:line="240" w:lineRule="auto"/>
    </w:pPr>
    <w:rPr>
      <w:rFonts w:ascii="Times New Roman" w:eastAsia="Times New Roman" w:hAnsi="Times New Roman"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A42E81"/>
    <w:pPr>
      <w:tabs>
        <w:tab w:val="center" w:pos="4677"/>
        <w:tab w:val="right" w:pos="9355"/>
      </w:tabs>
    </w:pPr>
  </w:style>
  <w:style w:type="character" w:customStyle="1" w:styleId="a7">
    <w:name w:val="Нижний колонтитул Знак"/>
    <w:basedOn w:val="a0"/>
    <w:link w:val="a6"/>
    <w:uiPriority w:val="99"/>
    <w:rsid w:val="00A42E81"/>
    <w:rPr>
      <w:rFonts w:ascii="Times New Roman" w:eastAsia="Times New Roman" w:hAnsi="Times New Roman" w:cs="Times New Roman"/>
      <w:sz w:val="24"/>
      <w:szCs w:val="24"/>
      <w:lang w:val="en-GB" w:eastAsia="ru-RU"/>
    </w:rPr>
  </w:style>
  <w:style w:type="character" w:styleId="a8">
    <w:name w:val="page number"/>
    <w:rsid w:val="00A42E81"/>
    <w:rPr>
      <w:rFonts w:cs="Times New Roman"/>
    </w:rPr>
  </w:style>
  <w:style w:type="paragraph" w:customStyle="1" w:styleId="Iauiue">
    <w:name w:val="Iau?iue"/>
    <w:rsid w:val="00A42E81"/>
    <w:pPr>
      <w:spacing w:after="0" w:line="240" w:lineRule="auto"/>
    </w:pPr>
    <w:rPr>
      <w:rFonts w:ascii="Times New Roman" w:eastAsia="Times New Roman" w:hAnsi="Times New Roman" w:cs="Times New Roman"/>
      <w:sz w:val="20"/>
      <w:szCs w:val="20"/>
      <w:lang w:val="en-GB" w:eastAsia="ru-RU"/>
    </w:rPr>
  </w:style>
  <w:style w:type="paragraph" w:styleId="1">
    <w:name w:val="toc 1"/>
    <w:basedOn w:val="a"/>
    <w:next w:val="a"/>
    <w:autoRedefine/>
    <w:uiPriority w:val="39"/>
    <w:rsid w:val="00A42E81"/>
    <w:pPr>
      <w:widowControl w:val="0"/>
      <w:tabs>
        <w:tab w:val="left" w:pos="480"/>
        <w:tab w:val="right" w:leader="dot" w:pos="9344"/>
      </w:tabs>
      <w:spacing w:before="120" w:after="120"/>
      <w:ind w:left="68"/>
    </w:pPr>
    <w:rPr>
      <w:rFonts w:ascii="Arial" w:hAnsi="Arial" w:cs="Arial"/>
      <w:b/>
      <w:bCs/>
      <w:caps/>
    </w:rPr>
  </w:style>
  <w:style w:type="paragraph" w:styleId="a9">
    <w:name w:val="List Paragraph"/>
    <w:basedOn w:val="a"/>
    <w:uiPriority w:val="34"/>
    <w:qFormat/>
    <w:rsid w:val="00A42E81"/>
    <w:pPr>
      <w:ind w:left="708"/>
    </w:pPr>
  </w:style>
  <w:style w:type="paragraph" w:customStyle="1" w:styleId="aa">
    <w:name w:val="Уровень Формул текст"/>
    <w:basedOn w:val="a"/>
    <w:link w:val="ab"/>
    <w:qFormat/>
    <w:rsid w:val="00A42E81"/>
    <w:pPr>
      <w:spacing w:after="120"/>
      <w:ind w:left="1559"/>
      <w:contextualSpacing/>
      <w:jc w:val="both"/>
    </w:pPr>
    <w:rPr>
      <w:rFonts w:ascii="Tahoma" w:hAnsi="Tahoma"/>
      <w:sz w:val="20"/>
      <w:szCs w:val="20"/>
      <w:lang w:eastAsia="x-none"/>
    </w:rPr>
  </w:style>
  <w:style w:type="character" w:customStyle="1" w:styleId="ab">
    <w:name w:val="Уровень Формул текст Знак"/>
    <w:link w:val="aa"/>
    <w:rsid w:val="00A42E81"/>
    <w:rPr>
      <w:rFonts w:ascii="Tahoma" w:eastAsia="Times New Roman" w:hAnsi="Tahoma" w:cs="Times New Roman"/>
      <w:sz w:val="20"/>
      <w:szCs w:val="20"/>
      <w:lang w:val="en-GB" w:eastAsia="x-none"/>
    </w:rPr>
  </w:style>
  <w:style w:type="character" w:styleId="ac">
    <w:name w:val="Emphasis"/>
    <w:aliases w:val="Глава 3"/>
    <w:qFormat/>
    <w:rsid w:val="00A42E8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673</Words>
  <Characters>3841</Characters>
  <Application>Microsoft Office Word</Application>
  <DocSecurity>0</DocSecurity>
  <Lines>32</Lines>
  <Paragraphs>9</Paragraphs>
  <ScaleCrop>false</ScaleCrop>
  <Company>MOEX</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dc:description/>
  <cp:lastModifiedBy>Лошкарева Кристина Викторовна</cp:lastModifiedBy>
  <cp:revision>1</cp:revision>
  <dcterms:created xsi:type="dcterms:W3CDTF">2025-02-12T13:47:00Z</dcterms:created>
  <dcterms:modified xsi:type="dcterms:W3CDTF">2025-02-12T13:51:00Z</dcterms:modified>
</cp:coreProperties>
</file>