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F54015">
      <w:pPr>
        <w:pStyle w:val="ac"/>
        <w:spacing w:after="0"/>
        <w:ind w:left="4678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F54015">
      <w:pPr>
        <w:pStyle w:val="ac"/>
        <w:spacing w:after="0"/>
        <w:ind w:left="4678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7B4DC839" w:rsidR="00761F6D" w:rsidRPr="00F54015" w:rsidRDefault="00EC619C" w:rsidP="00F54015">
      <w:pPr>
        <w:pStyle w:val="ac"/>
        <w:spacing w:after="0"/>
        <w:ind w:left="4678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МБ-П-202</w:t>
      </w:r>
      <w:r w:rsidR="007B4905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-</w:t>
      </w:r>
      <w:bookmarkStart w:id="0" w:name="_GoBack"/>
      <w:bookmarkEnd w:id="0"/>
      <w:r w:rsidR="0048068E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202</w:t>
      </w:r>
      <w:r w:rsidR="007B4905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г.)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0BF5078C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акции </w:t>
      </w:r>
      <w:r>
        <w:rPr>
          <w:rFonts w:ascii="Tahoma" w:hAnsi="Tahoma" w:cs="Tahoma"/>
          <w:b/>
          <w:sz w:val="22"/>
          <w:szCs w:val="22"/>
        </w:rPr>
        <w:t>иностранных</w:t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 эмитентов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0D407DD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акции </w:t>
      </w:r>
      <w:r w:rsidR="004247A0">
        <w:rPr>
          <w:rFonts w:ascii="Tahoma" w:hAnsi="Tahoma" w:cs="Tahoma"/>
          <w:color w:val="auto"/>
        </w:rPr>
        <w:t>иностранных</w:t>
      </w:r>
      <w:r w:rsidR="004247A0" w:rsidRPr="00807C68">
        <w:rPr>
          <w:rFonts w:ascii="Tahoma" w:hAnsi="Tahoma" w:cs="Tahoma"/>
          <w:color w:val="auto"/>
        </w:rPr>
        <w:t xml:space="preserve"> эмитентов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на фьючерсные контракты на акции,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839C89B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>
        <w:rPr>
          <w:rFonts w:ascii="Tahoma" w:hAnsi="Tahoma" w:cs="Tahoma"/>
        </w:rPr>
        <w:t>маржируемым</w:t>
      </w:r>
      <w:proofErr w:type="spellEnd"/>
      <w:r>
        <w:rPr>
          <w:rFonts w:ascii="Tahoma" w:hAnsi="Tahoma" w:cs="Tahoma"/>
        </w:rPr>
        <w:t xml:space="preserve"> опционам на фьючерсные контракты </w:t>
      </w:r>
      <w:r>
        <w:rPr>
          <w:rFonts w:ascii="Tahoma" w:hAnsi="Tahoma" w:cs="Tahoma"/>
          <w:color w:val="auto"/>
        </w:rPr>
        <w:t xml:space="preserve">на акции,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3CB8E0FC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</w:t>
      </w:r>
      <w:proofErr w:type="spellStart"/>
      <w:r w:rsidR="001E4CCD">
        <w:rPr>
          <w:rFonts w:ascii="Tahoma" w:hAnsi="Tahoma" w:cs="Tahoma"/>
        </w:rPr>
        <w:t>маржируемых</w:t>
      </w:r>
      <w:proofErr w:type="spellEnd"/>
      <w:r w:rsidR="001E4CCD">
        <w:rPr>
          <w:rFonts w:ascii="Tahoma" w:hAnsi="Tahoma" w:cs="Tahoma"/>
        </w:rPr>
        <w:t xml:space="preserve"> опционов на поставочные фьючерсные контракты на акции </w:t>
      </w:r>
      <w:r w:rsidR="00EB334C">
        <w:rPr>
          <w:rFonts w:ascii="Tahoma" w:hAnsi="Tahoma" w:cs="Tahoma"/>
        </w:rPr>
        <w:t>иностранных</w:t>
      </w:r>
      <w:r w:rsidR="001E4CCD">
        <w:rPr>
          <w:rFonts w:ascii="Tahoma" w:hAnsi="Tahoma" w:cs="Tahoma"/>
        </w:rPr>
        <w:t xml:space="preserve"> эмитентов, 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A4E7914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 xml:space="preserve">ми активами Контрактов, условия которых определяются в настоящей Спецификации и в Списке параметров </w:t>
      </w:r>
      <w:proofErr w:type="spellStart"/>
      <w:r w:rsidRPr="00344041">
        <w:rPr>
          <w:rFonts w:ascii="Tahoma" w:hAnsi="Tahoma" w:cs="Tahoma"/>
          <w:szCs w:val="20"/>
        </w:rPr>
        <w:t>маржируемых</w:t>
      </w:r>
      <w:proofErr w:type="spellEnd"/>
      <w:r w:rsidRPr="00344041">
        <w:rPr>
          <w:rFonts w:ascii="Tahoma" w:hAnsi="Tahoma" w:cs="Tahoma"/>
          <w:szCs w:val="20"/>
        </w:rPr>
        <w:t xml:space="preserve"> опционов на</w:t>
      </w:r>
      <w:r>
        <w:rPr>
          <w:rFonts w:ascii="Tahoma" w:hAnsi="Tahoma" w:cs="Tahoma"/>
          <w:szCs w:val="20"/>
        </w:rPr>
        <w:t xml:space="preserve"> поставочные</w:t>
      </w:r>
      <w:r w:rsidRPr="00344041">
        <w:rPr>
          <w:rFonts w:ascii="Tahoma" w:hAnsi="Tahoma" w:cs="Tahoma"/>
          <w:szCs w:val="20"/>
        </w:rPr>
        <w:t xml:space="preserve"> фьючерсные контракты на акции</w:t>
      </w:r>
      <w:r>
        <w:rPr>
          <w:rFonts w:ascii="Tahoma" w:hAnsi="Tahoma" w:cs="Tahoma"/>
          <w:szCs w:val="20"/>
        </w:rPr>
        <w:t xml:space="preserve"> иностранных эмитентов,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акции,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66B37CA9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</w:t>
      </w:r>
      <w:proofErr w:type="spellStart"/>
      <w:r>
        <w:rPr>
          <w:rFonts w:ascii="Tahoma" w:hAnsi="Tahoma" w:cs="Tahoma"/>
          <w:szCs w:val="20"/>
        </w:rPr>
        <w:t>маржируемыми</w:t>
      </w:r>
      <w:proofErr w:type="spellEnd"/>
      <w:r>
        <w:rPr>
          <w:rFonts w:ascii="Tahoma" w:hAnsi="Tahoma" w:cs="Tahoma"/>
          <w:szCs w:val="20"/>
        </w:rPr>
        <w:t xml:space="preserve">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0F394E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1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&lt;Код Фьючерсного контракта&gt;</w:t>
      </w:r>
      <w:proofErr w:type="gramStart"/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>&lt;</w:t>
      </w:r>
      <w:proofErr w:type="gramEnd"/>
      <w:r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344041">
        <w:rPr>
          <w:rFonts w:ascii="Tahoma" w:hAnsi="Tahoma" w:cs="Tahoma"/>
          <w:szCs w:val="20"/>
        </w:rPr>
        <w:t>маржируемый</w:t>
      </w:r>
      <w:proofErr w:type="spellEnd"/>
      <w:r w:rsidRPr="00344041">
        <w:rPr>
          <w:rFonts w:ascii="Tahoma" w:hAnsi="Tahoma" w:cs="Tahoma"/>
          <w:szCs w:val="20"/>
        </w:rPr>
        <w:t>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 (например, 100614 – 10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77777777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>
        <w:rPr>
          <w:rFonts w:ascii="Tahoma" w:hAnsi="Tahoma" w:cs="Tahoma"/>
          <w:szCs w:val="20"/>
        </w:rPr>
        <w:t>;</w:t>
      </w:r>
    </w:p>
    <w:p w14:paraId="2B5EF43D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*</w:t>
      </w:r>
      <w:r w:rsidRPr="00455FCE">
        <w:rPr>
          <w:rFonts w:ascii="Tahoma" w:hAnsi="Tahoma" w:cs="Tahoma"/>
          <w:szCs w:val="20"/>
        </w:rPr>
        <w:t>&lt; &gt;</w:t>
      </w:r>
      <w:proofErr w:type="gramEnd"/>
      <w:r w:rsidRPr="00455FCE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не указывается для Контрактов, дата первого дня заключения которых наступила позднее 06.11.2016 г</w:t>
      </w:r>
      <w:r w:rsidRPr="00344041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3" w:name="_Ref240708523"/>
      <w:bookmarkEnd w:id="2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3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4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4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5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ВМо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Цо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ВМт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РЦп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ВМо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ВМт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Цо</w:t>
      </w:r>
      <w:proofErr w:type="spellEnd"/>
      <w:r w:rsidRPr="00344041">
        <w:rPr>
          <w:rFonts w:ascii="Tahoma" w:hAnsi="Tahoma" w:cs="Tahoma"/>
        </w:rPr>
        <w:t xml:space="preserve">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РЦт</w:t>
      </w:r>
      <w:proofErr w:type="spellEnd"/>
      <w:r w:rsidRPr="00344041">
        <w:rPr>
          <w:rFonts w:ascii="Tahoma" w:hAnsi="Tahoma" w:cs="Tahoma"/>
        </w:rPr>
        <w:t xml:space="preserve">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РЦп</w:t>
      </w:r>
      <w:proofErr w:type="spellEnd"/>
      <w:r w:rsidRPr="00344041">
        <w:rPr>
          <w:rFonts w:ascii="Tahoma" w:hAnsi="Tahoma" w:cs="Tahoma"/>
        </w:rPr>
        <w:t xml:space="preserve">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proofErr w:type="spellStart"/>
      <w:r w:rsidRPr="00344041">
        <w:rPr>
          <w:rFonts w:ascii="Tahoma" w:hAnsi="Tahoma" w:cs="Tahoma"/>
        </w:rPr>
        <w:t>пецификации</w:t>
      </w:r>
      <w:proofErr w:type="spellEnd"/>
      <w:r w:rsidRPr="00344041">
        <w:rPr>
          <w:rFonts w:ascii="Tahoma" w:hAnsi="Tahoma" w:cs="Tahoma"/>
        </w:rPr>
        <w:t>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lastRenderedPageBreak/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Pr="00344041">
        <w:rPr>
          <w:rFonts w:ascii="Tahoma" w:hAnsi="Tahoma" w:cs="Tahoma"/>
        </w:rPr>
        <w:t>РЦт</w:t>
      </w:r>
      <w:proofErr w:type="spellEnd"/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lastRenderedPageBreak/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7FD8D296" w14:textId="77777777" w:rsidR="004158FC" w:rsidRPr="00A83C75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3C13C3B9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6" w:name="_Ref202268185"/>
      <w:r w:rsidRPr="00807C68">
        <w:rPr>
          <w:rFonts w:ascii="Tahoma" w:hAnsi="Tahoma" w:cs="Tahoma"/>
        </w:rPr>
        <w:t xml:space="preserve">Биржа </w:t>
      </w:r>
      <w:bookmarkStart w:id="7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7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6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proofErr w:type="spellStart"/>
      <w:r>
        <w:rPr>
          <w:rFonts w:ascii="Tahoma" w:hAnsi="Tahoma" w:cs="Tahoma"/>
        </w:rPr>
        <w:t>пецификацию</w:t>
      </w:r>
      <w:proofErr w:type="spellEnd"/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77777777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lastRenderedPageBreak/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6768EE89" w14:textId="4D4F7539" w:rsidR="00C703D6" w:rsidRDefault="00C703D6">
      <w:pPr>
        <w:rPr>
          <w:lang w:val="ru-RU"/>
        </w:rPr>
      </w:pPr>
      <w:r>
        <w:rPr>
          <w:lang w:val="ru-RU"/>
        </w:rPr>
        <w:br w:type="page"/>
      </w:r>
    </w:p>
    <w:p w14:paraId="3FA9DC4C" w14:textId="77777777" w:rsidR="00C703D6" w:rsidRDefault="00C703D6">
      <w:pPr>
        <w:rPr>
          <w:lang w:val="ru-RU"/>
        </w:rPr>
        <w:sectPr w:rsidR="00C703D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50E8B1" w14:textId="0FD6D4AE" w:rsidR="00164AFD" w:rsidRDefault="00164AFD">
      <w:pPr>
        <w:rPr>
          <w:lang w:val="ru-RU"/>
        </w:rPr>
      </w:pPr>
    </w:p>
    <w:p w14:paraId="41D28334" w14:textId="256C501C" w:rsidR="00C703D6" w:rsidRPr="00C703D6" w:rsidRDefault="00C703D6" w:rsidP="00C703D6">
      <w:pPr>
        <w:jc w:val="right"/>
        <w:rPr>
          <w:rFonts w:ascii="Tahoma" w:hAnsi="Tahoma" w:cs="Tahoma"/>
          <w:b/>
          <w:sz w:val="24"/>
          <w:lang w:val="ru-RU"/>
        </w:rPr>
      </w:pPr>
      <w:r w:rsidRPr="00C703D6">
        <w:rPr>
          <w:rFonts w:ascii="Tahoma" w:hAnsi="Tahoma" w:cs="Tahoma"/>
          <w:b/>
          <w:sz w:val="24"/>
          <w:lang w:val="ru-RU"/>
        </w:rPr>
        <w:t>Приложение №1</w:t>
      </w:r>
    </w:p>
    <w:p w14:paraId="2DDFBA2F" w14:textId="77777777" w:rsidR="00C703D6" w:rsidRPr="002A6513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МАРЖИРУЕМЫХ ОПЦИОНОВ </w:t>
      </w:r>
    </w:p>
    <w:p w14:paraId="7AF665E7" w14:textId="77777777" w:rsidR="00C703D6" w:rsidRPr="00125F2A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>на фьючерсные контракты на акции иностранных эмитентов</w:t>
      </w:r>
    </w:p>
    <w:p w14:paraId="59B03E09" w14:textId="77777777" w:rsidR="00C703D6" w:rsidRPr="00C84C13" w:rsidRDefault="00C703D6" w:rsidP="00C703D6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C703D6" w:rsidRPr="00CD2745" w14:paraId="456FF9A3" w14:textId="77777777" w:rsidTr="0080596C">
        <w:tc>
          <w:tcPr>
            <w:tcW w:w="709" w:type="dxa"/>
            <w:vAlign w:val="center"/>
          </w:tcPr>
          <w:p w14:paraId="5948C77E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14:paraId="581A2003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7D4AFADD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14:paraId="4086E014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114F3968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275A11F7" w14:textId="77777777" w:rsidR="00C703D6" w:rsidRPr="004F5DA5" w:rsidRDefault="00C703D6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C703D6" w:rsidRPr="00CD2745" w14:paraId="107A9856" w14:textId="77777777" w:rsidTr="0080596C">
        <w:tc>
          <w:tcPr>
            <w:tcW w:w="709" w:type="dxa"/>
            <w:vAlign w:val="center"/>
          </w:tcPr>
          <w:p w14:paraId="73C8B1F0" w14:textId="77777777" w:rsidR="00C703D6" w:rsidRPr="004F5DA5" w:rsidRDefault="00C703D6" w:rsidP="00C703D6">
            <w:pPr>
              <w:pStyle w:val="af3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55F2837" w14:textId="190BF8A0" w:rsidR="00C703D6" w:rsidRPr="0092365E" w:rsidRDefault="00C703D6" w:rsidP="0080596C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14:paraId="5E96B2B3" w14:textId="001AA3D6" w:rsidR="00C703D6" w:rsidRPr="0092365E" w:rsidRDefault="00C703D6" w:rsidP="0080596C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14:paraId="56526C72" w14:textId="60CEFF07" w:rsidR="00C703D6" w:rsidRPr="000F2BEA" w:rsidRDefault="00C703D6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3172F13" w14:textId="11C8D639" w:rsidR="00C703D6" w:rsidRPr="00621285" w:rsidRDefault="00C703D6" w:rsidP="0080596C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B75C7B1" w14:textId="601E9F0E" w:rsidR="00C703D6" w:rsidRPr="00621285" w:rsidRDefault="00C703D6" w:rsidP="0080596C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14:paraId="4A32D636" w14:textId="77777777" w:rsidR="00C703D6" w:rsidRPr="00DE3878" w:rsidRDefault="00C703D6" w:rsidP="00C703D6">
      <w:pPr>
        <w:jc w:val="both"/>
        <w:rPr>
          <w:rFonts w:ascii="Tahoma" w:hAnsi="Tahoma" w:cs="Tahoma"/>
        </w:rPr>
      </w:pPr>
    </w:p>
    <w:p w14:paraId="1B50AD96" w14:textId="77777777" w:rsidR="00C703D6" w:rsidRPr="00CD2745" w:rsidRDefault="00C703D6" w:rsidP="00C703D6">
      <w:pPr>
        <w:jc w:val="both"/>
        <w:rPr>
          <w:rFonts w:ascii="Tahoma" w:hAnsi="Tahoma" w:cs="Tahoma"/>
        </w:rPr>
      </w:pPr>
    </w:p>
    <w:p w14:paraId="0120106A" w14:textId="77777777" w:rsidR="00C703D6" w:rsidRPr="00C703D6" w:rsidRDefault="00C703D6" w:rsidP="00C703D6">
      <w:pPr>
        <w:jc w:val="both"/>
        <w:rPr>
          <w:rFonts w:ascii="Tahoma" w:hAnsi="Tahoma" w:cs="Tahoma"/>
          <w:sz w:val="20"/>
          <w:lang w:val="ru-RU"/>
        </w:rPr>
      </w:pPr>
      <w:r w:rsidRPr="00C703D6">
        <w:rPr>
          <w:rFonts w:ascii="Tahoma" w:hAnsi="Tahoma" w:cs="Tahoma"/>
          <w:sz w:val="20"/>
          <w:lang w:val="ru-RU"/>
        </w:rPr>
        <w:t>*</w:t>
      </w:r>
      <w:r>
        <w:rPr>
          <w:rFonts w:ascii="Tahoma" w:hAnsi="Tahoma" w:cs="Tahoma"/>
          <w:sz w:val="20"/>
          <w:lang w:val="en-US"/>
        </w:rPr>
        <w:t>xx</w:t>
      </w:r>
      <w:r w:rsidRPr="00C703D6">
        <w:rPr>
          <w:rFonts w:ascii="Tahoma" w:hAnsi="Tahoma" w:cs="Tahoma"/>
          <w:sz w:val="20"/>
          <w:lang w:val="ru-RU"/>
        </w:rPr>
        <w:t xml:space="preserve"> – месяц исполнения фьючерсного контракта, </w:t>
      </w:r>
      <w:proofErr w:type="spellStart"/>
      <w:r>
        <w:rPr>
          <w:rFonts w:ascii="Tahoma" w:hAnsi="Tahoma" w:cs="Tahoma"/>
          <w:sz w:val="20"/>
          <w:lang w:val="en-US"/>
        </w:rPr>
        <w:t>yy</w:t>
      </w:r>
      <w:proofErr w:type="spellEnd"/>
      <w:r w:rsidRPr="00C703D6">
        <w:rPr>
          <w:rFonts w:ascii="Tahoma" w:hAnsi="Tahoma" w:cs="Tahoma"/>
          <w:sz w:val="20"/>
          <w:lang w:val="ru-RU"/>
        </w:rPr>
        <w:t xml:space="preserve"> – год исполнения фьючерсного контракта</w:t>
      </w:r>
    </w:p>
    <w:p w14:paraId="46225978" w14:textId="56A7DC98" w:rsidR="00C703D6" w:rsidRPr="00C703D6" w:rsidRDefault="00C703D6" w:rsidP="00C703D6">
      <w:pPr>
        <w:jc w:val="both"/>
        <w:rPr>
          <w:rFonts w:ascii="Tahoma" w:hAnsi="Tahoma" w:cs="Tahoma"/>
          <w:lang w:val="ru-RU"/>
        </w:rPr>
      </w:pPr>
      <w:r w:rsidRPr="00C703D6">
        <w:rPr>
          <w:rFonts w:ascii="Tahoma" w:hAnsi="Tahoma" w:cs="Tahoma"/>
          <w:sz w:val="20"/>
          <w:lang w:val="ru-RU"/>
        </w:rPr>
        <w:t>Например, код (обозначение) «</w:t>
      </w:r>
      <w:r w:rsidR="004421E5">
        <w:rPr>
          <w:rFonts w:ascii="Tahoma" w:hAnsi="Tahoma" w:cs="Tahoma"/>
          <w:sz w:val="20"/>
          <w:lang w:val="en-US"/>
        </w:rPr>
        <w:t>POLY</w:t>
      </w:r>
      <w:r w:rsidRPr="00C703D6">
        <w:rPr>
          <w:rFonts w:ascii="Tahoma" w:hAnsi="Tahoma" w:cs="Tahoma"/>
          <w:sz w:val="20"/>
          <w:lang w:val="ru-RU"/>
        </w:rPr>
        <w:t>-9.2</w:t>
      </w:r>
      <w:r w:rsidR="004421E5" w:rsidRPr="004421E5">
        <w:rPr>
          <w:rFonts w:ascii="Tahoma" w:hAnsi="Tahoma" w:cs="Tahoma"/>
          <w:sz w:val="20"/>
          <w:lang w:val="ru-RU"/>
        </w:rPr>
        <w:t>4</w:t>
      </w:r>
      <w:r w:rsidRPr="00C703D6">
        <w:rPr>
          <w:rFonts w:ascii="Tahoma" w:hAnsi="Tahoma" w:cs="Tahoma"/>
          <w:sz w:val="20"/>
          <w:lang w:val="ru-RU"/>
        </w:rPr>
        <w:t>» означает, что фьючерсный контракт</w:t>
      </w:r>
      <w:r w:rsidRPr="00C703D6">
        <w:rPr>
          <w:lang w:val="ru-RU"/>
        </w:rPr>
        <w:t xml:space="preserve"> </w:t>
      </w:r>
      <w:r w:rsidRPr="00C703D6">
        <w:rPr>
          <w:rFonts w:ascii="Tahoma" w:hAnsi="Tahoma" w:cs="Tahoma"/>
          <w:sz w:val="20"/>
          <w:lang w:val="ru-RU"/>
        </w:rPr>
        <w:t xml:space="preserve">на обыкновенные акции </w:t>
      </w:r>
      <w:r w:rsidR="004421E5" w:rsidRPr="004421E5">
        <w:rPr>
          <w:rFonts w:ascii="Tahoma" w:hAnsi="Tahoma" w:cs="Tahoma"/>
          <w:lang w:val="ru-RU"/>
        </w:rPr>
        <w:t>«</w:t>
      </w:r>
      <w:r w:rsidR="004421E5" w:rsidRPr="004421E5">
        <w:rPr>
          <w:rFonts w:ascii="Tahoma" w:hAnsi="Tahoma" w:cs="Tahoma"/>
          <w:sz w:val="20"/>
          <w:lang w:val="ru-RU"/>
        </w:rPr>
        <w:t>Полиметалл Интернэшнл»</w:t>
      </w:r>
      <w:r w:rsidR="004421E5">
        <w:rPr>
          <w:rFonts w:ascii="Tahoma" w:hAnsi="Tahoma" w:cs="Tahoma"/>
          <w:sz w:val="20"/>
          <w:lang w:val="ru-RU"/>
        </w:rPr>
        <w:t xml:space="preserve">, </w:t>
      </w:r>
      <w:r w:rsidRPr="00C703D6">
        <w:rPr>
          <w:rFonts w:ascii="Tahoma" w:hAnsi="Tahoma" w:cs="Tahoma"/>
          <w:sz w:val="20"/>
          <w:lang w:val="ru-RU"/>
        </w:rPr>
        <w:t xml:space="preserve">являющийся базисным активом </w:t>
      </w:r>
      <w:proofErr w:type="spellStart"/>
      <w:r w:rsidRPr="00C703D6">
        <w:rPr>
          <w:rFonts w:ascii="Tahoma" w:hAnsi="Tahoma" w:cs="Tahoma"/>
          <w:sz w:val="20"/>
          <w:lang w:val="ru-RU"/>
        </w:rPr>
        <w:t>маржируемого</w:t>
      </w:r>
      <w:proofErr w:type="spellEnd"/>
      <w:r w:rsidRPr="00C703D6">
        <w:rPr>
          <w:rFonts w:ascii="Tahoma" w:hAnsi="Tahoma" w:cs="Tahoma"/>
          <w:sz w:val="20"/>
          <w:lang w:val="ru-RU"/>
        </w:rPr>
        <w:t xml:space="preserve"> опциона, подлежит исполнению в сентябре 202</w:t>
      </w:r>
      <w:r w:rsidR="004421E5">
        <w:rPr>
          <w:rFonts w:ascii="Tahoma" w:hAnsi="Tahoma" w:cs="Tahoma"/>
          <w:sz w:val="20"/>
          <w:lang w:val="ru-RU"/>
        </w:rPr>
        <w:t>4</w:t>
      </w:r>
      <w:r w:rsidRPr="00C703D6">
        <w:rPr>
          <w:rFonts w:ascii="Tahoma" w:hAnsi="Tahoma" w:cs="Tahoma"/>
          <w:sz w:val="20"/>
          <w:lang w:val="ru-RU"/>
        </w:rPr>
        <w:t xml:space="preserve"> года.</w:t>
      </w:r>
    </w:p>
    <w:p w14:paraId="474A10D9" w14:textId="77777777" w:rsidR="00C703D6" w:rsidRPr="00164AFD" w:rsidRDefault="00C703D6">
      <w:pPr>
        <w:rPr>
          <w:lang w:val="ru-RU"/>
        </w:rPr>
      </w:pPr>
    </w:p>
    <w:sectPr w:rsidR="00C703D6" w:rsidRPr="00164AFD" w:rsidSect="00C70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73D3" w14:textId="77777777" w:rsidR="00F75252" w:rsidRDefault="00F75252" w:rsidP="000001D3">
      <w:pPr>
        <w:spacing w:after="0" w:line="240" w:lineRule="auto"/>
      </w:pPr>
      <w:r>
        <w:separator/>
      </w:r>
    </w:p>
  </w:endnote>
  <w:endnote w:type="continuationSeparator" w:id="0">
    <w:p w14:paraId="180D7250" w14:textId="77777777" w:rsidR="00F75252" w:rsidRDefault="00F75252" w:rsidP="000001D3">
      <w:pPr>
        <w:spacing w:after="0" w:line="240" w:lineRule="auto"/>
      </w:pPr>
      <w:r>
        <w:continuationSeparator/>
      </w:r>
    </w:p>
  </w:endnote>
  <w:endnote w:type="continuationNotice" w:id="1">
    <w:p w14:paraId="7B7BEB98" w14:textId="77777777" w:rsidR="00F75252" w:rsidRDefault="00F7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98C9" w14:textId="77777777" w:rsidR="00F75252" w:rsidRDefault="00F75252" w:rsidP="000001D3">
      <w:pPr>
        <w:spacing w:after="0" w:line="240" w:lineRule="auto"/>
      </w:pPr>
      <w:r>
        <w:separator/>
      </w:r>
    </w:p>
  </w:footnote>
  <w:footnote w:type="continuationSeparator" w:id="0">
    <w:p w14:paraId="518DBE5D" w14:textId="77777777" w:rsidR="00F75252" w:rsidRDefault="00F75252" w:rsidP="000001D3">
      <w:pPr>
        <w:spacing w:after="0" w:line="240" w:lineRule="auto"/>
      </w:pPr>
      <w:r>
        <w:continuationSeparator/>
      </w:r>
    </w:p>
  </w:footnote>
  <w:footnote w:type="continuationNotice" w:id="1">
    <w:p w14:paraId="5C0F8CC3" w14:textId="77777777" w:rsidR="00F75252" w:rsidRDefault="00F75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</w:t>
    </w:r>
    <w:proofErr w:type="spellStart"/>
    <w:r w:rsidRPr="000001D3">
      <w:rPr>
        <w:rFonts w:ascii="Tahoma" w:hAnsi="Tahoma" w:cs="Tahoma"/>
        <w:b/>
        <w:sz w:val="20"/>
        <w:szCs w:val="20"/>
        <w:lang w:val="ru-RU"/>
      </w:rPr>
      <w:t>маржируемых</w:t>
    </w:r>
    <w:proofErr w:type="spellEnd"/>
    <w:r w:rsidRPr="000001D3">
      <w:rPr>
        <w:rFonts w:ascii="Tahoma" w:hAnsi="Tahoma" w:cs="Tahoma"/>
        <w:b/>
        <w:sz w:val="20"/>
        <w:szCs w:val="20"/>
        <w:lang w:val="ru-RU"/>
      </w:rPr>
      <w:t xml:space="preserve"> опционов </w:t>
    </w:r>
  </w:p>
  <w:p w14:paraId="05502713" w14:textId="3041C45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акции </w:t>
    </w:r>
    <w:r>
      <w:rPr>
        <w:rFonts w:ascii="Tahoma" w:hAnsi="Tahoma" w:cs="Tahoma"/>
        <w:b/>
        <w:sz w:val="20"/>
        <w:szCs w:val="20"/>
        <w:lang w:val="ru-RU"/>
      </w:rPr>
      <w:t>иностранных</w:t>
    </w:r>
    <w:r w:rsidRPr="000001D3">
      <w:rPr>
        <w:rFonts w:ascii="Tahoma" w:hAnsi="Tahoma" w:cs="Tahoma"/>
        <w:b/>
        <w:sz w:val="20"/>
        <w:szCs w:val="20"/>
        <w:lang w:val="ru-RU"/>
      </w:rPr>
      <w:t xml:space="preserve">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7EC4"/>
    <w:rsid w:val="000445D6"/>
    <w:rsid w:val="00054A50"/>
    <w:rsid w:val="00094F02"/>
    <w:rsid w:val="000F394E"/>
    <w:rsid w:val="00146729"/>
    <w:rsid w:val="00164AFD"/>
    <w:rsid w:val="001E4CCD"/>
    <w:rsid w:val="00243CA2"/>
    <w:rsid w:val="00266E3C"/>
    <w:rsid w:val="00293073"/>
    <w:rsid w:val="0029551A"/>
    <w:rsid w:val="004158FC"/>
    <w:rsid w:val="004247A0"/>
    <w:rsid w:val="004421E5"/>
    <w:rsid w:val="004525B9"/>
    <w:rsid w:val="0048068E"/>
    <w:rsid w:val="0049217C"/>
    <w:rsid w:val="004A2BC1"/>
    <w:rsid w:val="004E7D8F"/>
    <w:rsid w:val="005531BD"/>
    <w:rsid w:val="005A2664"/>
    <w:rsid w:val="005C27AF"/>
    <w:rsid w:val="005C75F2"/>
    <w:rsid w:val="005D2769"/>
    <w:rsid w:val="00601C0F"/>
    <w:rsid w:val="00761F6D"/>
    <w:rsid w:val="00774BA4"/>
    <w:rsid w:val="00790ED8"/>
    <w:rsid w:val="00795E4C"/>
    <w:rsid w:val="007B4905"/>
    <w:rsid w:val="007D4024"/>
    <w:rsid w:val="008C776F"/>
    <w:rsid w:val="009C0189"/>
    <w:rsid w:val="00A3016B"/>
    <w:rsid w:val="00AD169E"/>
    <w:rsid w:val="00AF662E"/>
    <w:rsid w:val="00B5697F"/>
    <w:rsid w:val="00BE0415"/>
    <w:rsid w:val="00C703D6"/>
    <w:rsid w:val="00C77B31"/>
    <w:rsid w:val="00CA3C70"/>
    <w:rsid w:val="00D13941"/>
    <w:rsid w:val="00D1501E"/>
    <w:rsid w:val="00D17968"/>
    <w:rsid w:val="00D4417A"/>
    <w:rsid w:val="00D6673E"/>
    <w:rsid w:val="00DD6DC9"/>
    <w:rsid w:val="00E50E3E"/>
    <w:rsid w:val="00E57A9C"/>
    <w:rsid w:val="00EB334C"/>
    <w:rsid w:val="00EC334A"/>
    <w:rsid w:val="00EC619C"/>
    <w:rsid w:val="00EE14D8"/>
    <w:rsid w:val="00F0784A"/>
    <w:rsid w:val="00F54015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001D3"/>
  </w:style>
  <w:style w:type="paragraph" w:styleId="ab">
    <w:name w:val="Normal (Web)"/>
    <w:basedOn w:val="a3"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  <w:style w:type="table" w:styleId="af6">
    <w:name w:val="Table Grid"/>
    <w:basedOn w:val="a5"/>
    <w:rsid w:val="00C70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2A308-CFDD-4F39-BD14-E86CF14A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3E038-A33D-4967-9D94-8FF9E5614B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0b810f-da58-4cf5-94a3-c1feff451f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2</cp:revision>
  <cp:lastPrinted>2020-10-22T08:50:00Z</cp:lastPrinted>
  <dcterms:created xsi:type="dcterms:W3CDTF">2024-10-07T12:26:00Z</dcterms:created>
  <dcterms:modified xsi:type="dcterms:W3CDTF">2024-10-07T12:26:00Z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