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02074" w14:textId="77777777" w:rsidR="00440DC9" w:rsidRPr="005379F4" w:rsidRDefault="00440DC9" w:rsidP="005379F4">
      <w:pPr>
        <w:autoSpaceDE w:val="0"/>
        <w:autoSpaceDN w:val="0"/>
        <w:adjustRightInd w:val="0"/>
        <w:spacing w:before="120" w:after="120"/>
        <w:ind w:right="-569"/>
        <w:rPr>
          <w:rFonts w:cs="Tahoma"/>
          <w:b/>
          <w:color w:val="000000"/>
          <w:sz w:val="22"/>
          <w:szCs w:val="20"/>
        </w:rPr>
      </w:pPr>
      <w:r w:rsidRPr="005379F4">
        <w:rPr>
          <w:rFonts w:cs="Tahoma"/>
          <w:b/>
          <w:color w:val="000000"/>
          <w:sz w:val="22"/>
        </w:rPr>
        <w:t xml:space="preserve">APPROVED </w:t>
      </w:r>
    </w:p>
    <w:p w14:paraId="6DF9BEFB" w14:textId="77777777" w:rsidR="00440DC9" w:rsidRPr="005379F4" w:rsidRDefault="00440DC9" w:rsidP="005379F4">
      <w:pPr>
        <w:autoSpaceDE w:val="0"/>
        <w:autoSpaceDN w:val="0"/>
        <w:adjustRightInd w:val="0"/>
        <w:spacing w:before="120" w:after="120"/>
        <w:ind w:right="-569"/>
        <w:rPr>
          <w:rFonts w:cs="Tahoma"/>
          <w:b/>
          <w:color w:val="000000"/>
          <w:sz w:val="22"/>
          <w:szCs w:val="20"/>
        </w:rPr>
      </w:pPr>
    </w:p>
    <w:p w14:paraId="21208FE8" w14:textId="77777777" w:rsidR="00440DC9" w:rsidRPr="005379F4" w:rsidRDefault="00440DC9" w:rsidP="005379F4">
      <w:pPr>
        <w:autoSpaceDE w:val="0"/>
        <w:autoSpaceDN w:val="0"/>
        <w:adjustRightInd w:val="0"/>
        <w:spacing w:before="120" w:after="120"/>
        <w:ind w:right="-569"/>
        <w:rPr>
          <w:rFonts w:cs="Tahoma"/>
          <w:color w:val="000000"/>
          <w:sz w:val="22"/>
          <w:szCs w:val="20"/>
        </w:rPr>
      </w:pPr>
      <w:r w:rsidRPr="005379F4">
        <w:rPr>
          <w:rFonts w:cs="Tahoma"/>
          <w:color w:val="000000"/>
          <w:sz w:val="22"/>
        </w:rPr>
        <w:t xml:space="preserve">By the Executive Board of Moscow Exchange </w:t>
      </w:r>
    </w:p>
    <w:p w14:paraId="793D8055" w14:textId="6500DCEA" w:rsidR="00440DC9" w:rsidRPr="005379F4" w:rsidRDefault="00D0388F" w:rsidP="005379F4">
      <w:pPr>
        <w:autoSpaceDE w:val="0"/>
        <w:autoSpaceDN w:val="0"/>
        <w:adjustRightInd w:val="0"/>
        <w:spacing w:before="120" w:after="120"/>
        <w:ind w:right="-569"/>
        <w:rPr>
          <w:rFonts w:cs="Tahoma"/>
          <w:color w:val="000000"/>
          <w:sz w:val="22"/>
          <w:szCs w:val="20"/>
        </w:rPr>
      </w:pPr>
      <w:r w:rsidRPr="005379F4">
        <w:rPr>
          <w:rFonts w:cs="Tahoma"/>
          <w:color w:val="000000"/>
          <w:sz w:val="22"/>
        </w:rPr>
        <w:t>14 March 2025, Minutes No. 19</w:t>
      </w:r>
    </w:p>
    <w:p w14:paraId="477140E7" w14:textId="77777777" w:rsidR="00440DC9" w:rsidRPr="005379F4" w:rsidRDefault="00440DC9" w:rsidP="005379F4">
      <w:pPr>
        <w:autoSpaceDE w:val="0"/>
        <w:autoSpaceDN w:val="0"/>
        <w:adjustRightInd w:val="0"/>
        <w:spacing w:before="120" w:after="120"/>
        <w:ind w:right="-569"/>
        <w:rPr>
          <w:rFonts w:cs="Tahoma"/>
          <w:color w:val="000000"/>
          <w:sz w:val="22"/>
          <w:szCs w:val="20"/>
        </w:rPr>
      </w:pPr>
      <w:r w:rsidRPr="005379F4">
        <w:rPr>
          <w:rFonts w:cs="Tahoma"/>
          <w:color w:val="000000"/>
          <w:sz w:val="22"/>
        </w:rPr>
        <w:t xml:space="preserve"> </w:t>
      </w:r>
    </w:p>
    <w:p w14:paraId="0473591E" w14:textId="29CBB404" w:rsidR="00902485" w:rsidRPr="005379F4" w:rsidRDefault="00902485" w:rsidP="005379F4">
      <w:pPr>
        <w:spacing w:before="120" w:after="120"/>
        <w:ind w:left="5245"/>
        <w:rPr>
          <w:rFonts w:cs="Tahoma"/>
          <w:sz w:val="24"/>
        </w:rPr>
      </w:pPr>
    </w:p>
    <w:p w14:paraId="4C9495EB" w14:textId="77777777" w:rsidR="00E212F7" w:rsidRPr="005379F4" w:rsidRDefault="00E212F7" w:rsidP="005379F4">
      <w:pPr>
        <w:spacing w:before="120" w:after="120"/>
        <w:rPr>
          <w:rFonts w:cs="Tahoma"/>
          <w:szCs w:val="20"/>
        </w:rPr>
      </w:pPr>
    </w:p>
    <w:p w14:paraId="7B483E92" w14:textId="77777777" w:rsidR="00E212F7" w:rsidRPr="005379F4" w:rsidRDefault="00E212F7" w:rsidP="005379F4">
      <w:pPr>
        <w:spacing w:before="120" w:after="120"/>
        <w:rPr>
          <w:rFonts w:cs="Tahoma"/>
          <w:szCs w:val="20"/>
        </w:rPr>
      </w:pPr>
    </w:p>
    <w:p w14:paraId="4969758D" w14:textId="77777777" w:rsidR="003A4FD0" w:rsidRPr="005379F4" w:rsidRDefault="003A4FD0" w:rsidP="005379F4">
      <w:pPr>
        <w:spacing w:before="120" w:after="120"/>
        <w:rPr>
          <w:rFonts w:cs="Tahoma"/>
          <w:szCs w:val="20"/>
        </w:rPr>
      </w:pPr>
    </w:p>
    <w:p w14:paraId="6DCF7E9B" w14:textId="77777777" w:rsidR="003A4FD0" w:rsidRPr="005379F4" w:rsidRDefault="003A4FD0" w:rsidP="005379F4">
      <w:pPr>
        <w:spacing w:before="120" w:after="120"/>
        <w:rPr>
          <w:rFonts w:cs="Tahoma"/>
          <w:szCs w:val="20"/>
        </w:rPr>
      </w:pPr>
    </w:p>
    <w:p w14:paraId="4C38FF16" w14:textId="77777777" w:rsidR="003A4FD0" w:rsidRPr="005379F4" w:rsidRDefault="003A4FD0" w:rsidP="005379F4">
      <w:pPr>
        <w:spacing w:before="120" w:after="120"/>
        <w:rPr>
          <w:rFonts w:cs="Tahoma"/>
          <w:szCs w:val="20"/>
        </w:rPr>
      </w:pPr>
    </w:p>
    <w:p w14:paraId="419ED5B8" w14:textId="5ED3B9DA" w:rsidR="003A4FD0" w:rsidRPr="005379F4" w:rsidRDefault="003A4FD0" w:rsidP="005379F4">
      <w:pPr>
        <w:spacing w:before="120" w:after="120"/>
        <w:rPr>
          <w:rFonts w:cs="Tahoma"/>
          <w:szCs w:val="20"/>
        </w:rPr>
      </w:pPr>
    </w:p>
    <w:p w14:paraId="7B8DDB86" w14:textId="77777777" w:rsidR="00440DC9" w:rsidRPr="005379F4" w:rsidRDefault="00440DC9" w:rsidP="005379F4">
      <w:pPr>
        <w:spacing w:before="120" w:after="120"/>
        <w:rPr>
          <w:rFonts w:cs="Tahoma"/>
          <w:szCs w:val="20"/>
        </w:rPr>
      </w:pPr>
    </w:p>
    <w:p w14:paraId="0579CED0" w14:textId="77777777" w:rsidR="003A4FD0" w:rsidRPr="005379F4" w:rsidRDefault="003A4FD0" w:rsidP="005379F4">
      <w:pPr>
        <w:spacing w:before="120" w:after="120"/>
        <w:rPr>
          <w:rFonts w:cs="Tahoma"/>
          <w:szCs w:val="20"/>
        </w:rPr>
      </w:pPr>
    </w:p>
    <w:p w14:paraId="2CFFA24F" w14:textId="3DE1A10A" w:rsidR="00E212F7" w:rsidRPr="005379F4" w:rsidRDefault="00CD157D" w:rsidP="005379F4">
      <w:pPr>
        <w:spacing w:before="120" w:after="120"/>
        <w:jc w:val="center"/>
        <w:rPr>
          <w:rFonts w:cs="Tahoma"/>
          <w:b/>
          <w:sz w:val="28"/>
          <w:szCs w:val="28"/>
        </w:rPr>
      </w:pPr>
      <w:r w:rsidRPr="005379F4">
        <w:rPr>
          <w:rFonts w:cs="Tahoma"/>
          <w:b/>
          <w:sz w:val="28"/>
        </w:rPr>
        <w:t>MOEX Target Date Index Series Methodology</w:t>
      </w:r>
    </w:p>
    <w:p w14:paraId="660272A2" w14:textId="77777777" w:rsidR="00E212F7" w:rsidRPr="005379F4" w:rsidRDefault="00E212F7" w:rsidP="005379F4">
      <w:pPr>
        <w:spacing w:before="120" w:after="120"/>
        <w:rPr>
          <w:rFonts w:cs="Tahoma"/>
          <w:szCs w:val="20"/>
        </w:rPr>
      </w:pPr>
    </w:p>
    <w:p w14:paraId="06F4AB10" w14:textId="77777777" w:rsidR="00E212F7" w:rsidRPr="005379F4" w:rsidRDefault="00E212F7" w:rsidP="005379F4">
      <w:pPr>
        <w:spacing w:before="120" w:after="120"/>
        <w:rPr>
          <w:rFonts w:cs="Tahoma"/>
          <w:szCs w:val="20"/>
        </w:rPr>
      </w:pPr>
    </w:p>
    <w:p w14:paraId="0F9CB26A" w14:textId="77777777" w:rsidR="00E212F7" w:rsidRPr="005379F4" w:rsidRDefault="00E212F7" w:rsidP="005379F4">
      <w:pPr>
        <w:spacing w:before="120" w:after="120"/>
        <w:rPr>
          <w:rFonts w:cs="Tahoma"/>
          <w:szCs w:val="20"/>
        </w:rPr>
      </w:pPr>
    </w:p>
    <w:p w14:paraId="09753C8A" w14:textId="77777777" w:rsidR="00E212F7" w:rsidRPr="005379F4" w:rsidRDefault="00E212F7" w:rsidP="005379F4">
      <w:pPr>
        <w:spacing w:before="120" w:after="120"/>
        <w:rPr>
          <w:rFonts w:cs="Tahoma"/>
          <w:szCs w:val="20"/>
        </w:rPr>
      </w:pPr>
    </w:p>
    <w:p w14:paraId="71A03E2A" w14:textId="77777777" w:rsidR="00E212F7" w:rsidRPr="005379F4" w:rsidRDefault="00E212F7" w:rsidP="005379F4">
      <w:pPr>
        <w:spacing w:before="120" w:after="120"/>
        <w:rPr>
          <w:rFonts w:cs="Tahoma"/>
          <w:szCs w:val="20"/>
        </w:rPr>
      </w:pPr>
    </w:p>
    <w:p w14:paraId="2B7DCEC4" w14:textId="77777777" w:rsidR="00E212F7" w:rsidRPr="005379F4" w:rsidRDefault="00E212F7" w:rsidP="005379F4">
      <w:pPr>
        <w:spacing w:before="120" w:after="120"/>
        <w:rPr>
          <w:rFonts w:cs="Tahoma"/>
          <w:szCs w:val="20"/>
        </w:rPr>
      </w:pPr>
    </w:p>
    <w:p w14:paraId="1471F246" w14:textId="77777777" w:rsidR="00E212F7" w:rsidRPr="005379F4" w:rsidRDefault="00E212F7" w:rsidP="005379F4">
      <w:pPr>
        <w:spacing w:before="120" w:after="120"/>
        <w:rPr>
          <w:rFonts w:cs="Tahoma"/>
          <w:szCs w:val="20"/>
        </w:rPr>
      </w:pPr>
    </w:p>
    <w:p w14:paraId="72681C54" w14:textId="77777777" w:rsidR="00E212F7" w:rsidRPr="005379F4" w:rsidRDefault="00E212F7" w:rsidP="005379F4">
      <w:pPr>
        <w:spacing w:before="120" w:after="120"/>
        <w:rPr>
          <w:rFonts w:cs="Tahoma"/>
          <w:szCs w:val="20"/>
        </w:rPr>
      </w:pPr>
    </w:p>
    <w:p w14:paraId="1F13A580" w14:textId="77777777" w:rsidR="00E212F7" w:rsidRPr="005379F4" w:rsidRDefault="00E212F7" w:rsidP="005379F4">
      <w:pPr>
        <w:spacing w:before="120" w:after="120"/>
        <w:rPr>
          <w:rFonts w:cs="Tahoma"/>
          <w:szCs w:val="20"/>
        </w:rPr>
      </w:pPr>
    </w:p>
    <w:p w14:paraId="4FC0D107" w14:textId="77777777" w:rsidR="00E212F7" w:rsidRPr="005379F4" w:rsidRDefault="00E212F7" w:rsidP="005379F4">
      <w:pPr>
        <w:spacing w:before="120" w:after="120"/>
        <w:rPr>
          <w:rFonts w:cs="Tahoma"/>
          <w:szCs w:val="20"/>
        </w:rPr>
      </w:pPr>
    </w:p>
    <w:p w14:paraId="718D4334" w14:textId="77777777" w:rsidR="00E212F7" w:rsidRPr="005379F4" w:rsidRDefault="00E212F7" w:rsidP="005379F4">
      <w:pPr>
        <w:spacing w:before="120" w:after="120"/>
        <w:rPr>
          <w:rFonts w:cs="Tahoma"/>
          <w:szCs w:val="20"/>
        </w:rPr>
      </w:pPr>
    </w:p>
    <w:p w14:paraId="5BD56910" w14:textId="0C2BA323" w:rsidR="00902485" w:rsidRPr="005379F4" w:rsidRDefault="00902485" w:rsidP="005379F4">
      <w:pPr>
        <w:spacing w:before="120" w:after="120"/>
        <w:jc w:val="center"/>
        <w:rPr>
          <w:rFonts w:cs="Tahoma"/>
          <w:b/>
          <w:sz w:val="24"/>
        </w:rPr>
      </w:pPr>
    </w:p>
    <w:p w14:paraId="011E2825" w14:textId="7CF6D048" w:rsidR="00440DC9" w:rsidRPr="005379F4" w:rsidRDefault="00440DC9" w:rsidP="005379F4">
      <w:pPr>
        <w:spacing w:before="120" w:after="120"/>
        <w:jc w:val="center"/>
        <w:rPr>
          <w:rFonts w:cs="Tahoma"/>
          <w:b/>
          <w:sz w:val="24"/>
        </w:rPr>
      </w:pPr>
    </w:p>
    <w:p w14:paraId="23A146E1" w14:textId="7D28FA54" w:rsidR="00440DC9" w:rsidRPr="005379F4" w:rsidRDefault="00440DC9" w:rsidP="005379F4">
      <w:pPr>
        <w:spacing w:before="120" w:after="120"/>
        <w:jc w:val="center"/>
        <w:rPr>
          <w:rFonts w:cs="Tahoma"/>
          <w:b/>
          <w:sz w:val="24"/>
        </w:rPr>
      </w:pPr>
    </w:p>
    <w:p w14:paraId="28186B7E" w14:textId="4BE087BB" w:rsidR="00440DC9" w:rsidRPr="005379F4" w:rsidRDefault="00440DC9" w:rsidP="005379F4">
      <w:pPr>
        <w:spacing w:before="120" w:after="120"/>
        <w:jc w:val="center"/>
        <w:rPr>
          <w:rFonts w:cs="Tahoma"/>
          <w:b/>
          <w:sz w:val="24"/>
        </w:rPr>
      </w:pPr>
    </w:p>
    <w:p w14:paraId="7FC3EB4B" w14:textId="1A269EB3" w:rsidR="00440DC9" w:rsidRPr="005379F4" w:rsidRDefault="00440DC9" w:rsidP="005379F4">
      <w:pPr>
        <w:spacing w:before="120" w:after="120"/>
        <w:jc w:val="center"/>
        <w:rPr>
          <w:rFonts w:cs="Tahoma"/>
          <w:b/>
          <w:sz w:val="24"/>
        </w:rPr>
      </w:pPr>
    </w:p>
    <w:p w14:paraId="252C6EEB" w14:textId="77777777" w:rsidR="00902485" w:rsidRPr="005379F4" w:rsidRDefault="00902485" w:rsidP="005379F4">
      <w:pPr>
        <w:spacing w:before="120" w:after="120"/>
        <w:jc w:val="center"/>
        <w:rPr>
          <w:rFonts w:cs="Tahoma"/>
          <w:b/>
          <w:sz w:val="24"/>
        </w:rPr>
      </w:pPr>
    </w:p>
    <w:p w14:paraId="34A7FAA0" w14:textId="77777777" w:rsidR="00902485" w:rsidRPr="005379F4" w:rsidRDefault="00902485" w:rsidP="005379F4">
      <w:pPr>
        <w:spacing w:before="120" w:after="120"/>
        <w:jc w:val="center"/>
        <w:rPr>
          <w:rFonts w:cs="Tahoma"/>
          <w:b/>
          <w:sz w:val="24"/>
        </w:rPr>
      </w:pPr>
    </w:p>
    <w:p w14:paraId="316B93F3" w14:textId="77777777" w:rsidR="0081728E" w:rsidRPr="005379F4" w:rsidRDefault="0081728E" w:rsidP="005379F4">
      <w:pPr>
        <w:spacing w:before="120" w:after="120"/>
        <w:jc w:val="center"/>
        <w:rPr>
          <w:rFonts w:cs="Tahoma"/>
          <w:b/>
          <w:sz w:val="24"/>
        </w:rPr>
      </w:pPr>
    </w:p>
    <w:p w14:paraId="31E71141" w14:textId="77777777" w:rsidR="0081728E" w:rsidRPr="005379F4" w:rsidRDefault="0081728E" w:rsidP="005379F4">
      <w:pPr>
        <w:spacing w:before="120" w:after="120"/>
        <w:jc w:val="center"/>
        <w:rPr>
          <w:rFonts w:cs="Tahoma"/>
          <w:b/>
          <w:sz w:val="24"/>
        </w:rPr>
      </w:pPr>
    </w:p>
    <w:p w14:paraId="3E2CF08D" w14:textId="77777777" w:rsidR="0081728E" w:rsidRPr="005379F4" w:rsidRDefault="0081728E" w:rsidP="005379F4">
      <w:pPr>
        <w:spacing w:before="120" w:after="120"/>
        <w:jc w:val="center"/>
        <w:rPr>
          <w:rFonts w:cs="Tahoma"/>
          <w:b/>
          <w:sz w:val="24"/>
        </w:rPr>
      </w:pPr>
    </w:p>
    <w:p w14:paraId="535812E2" w14:textId="49E3B0DE" w:rsidR="00596498" w:rsidRPr="005379F4" w:rsidRDefault="00902485" w:rsidP="005379F4">
      <w:pPr>
        <w:spacing w:before="120" w:after="120"/>
        <w:jc w:val="center"/>
        <w:rPr>
          <w:rFonts w:cs="Tahoma"/>
          <w:b/>
          <w:sz w:val="24"/>
        </w:rPr>
        <w:sectPr w:rsidR="00596498" w:rsidRPr="005379F4" w:rsidSect="00466FC1">
          <w:footerReference w:type="even" r:id="rId8"/>
          <w:footerReference w:type="default" r:id="rId9"/>
          <w:pgSz w:w="11906" w:h="16838"/>
          <w:pgMar w:top="1077" w:right="1134" w:bottom="1077" w:left="1418" w:header="709" w:footer="709" w:gutter="0"/>
          <w:cols w:space="708"/>
          <w:titlePg/>
          <w:docGrid w:linePitch="360"/>
        </w:sectPr>
      </w:pPr>
      <w:r w:rsidRPr="005379F4">
        <w:rPr>
          <w:rFonts w:cs="Tahoma"/>
          <w:b/>
          <w:sz w:val="24"/>
        </w:rPr>
        <w:t>Moscow 2025</w:t>
      </w:r>
    </w:p>
    <w:p w14:paraId="74D93EA4" w14:textId="77777777" w:rsidR="00DF65DB" w:rsidRPr="005379F4" w:rsidRDefault="00047157" w:rsidP="005379F4">
      <w:pPr>
        <w:spacing w:before="120" w:after="120"/>
        <w:jc w:val="center"/>
        <w:rPr>
          <w:rFonts w:cs="Tahoma"/>
          <w:b/>
        </w:rPr>
      </w:pPr>
      <w:r w:rsidRPr="005379F4">
        <w:rPr>
          <w:rFonts w:cs="Tahoma"/>
          <w:b/>
        </w:rPr>
        <w:lastRenderedPageBreak/>
        <w:t>CONTENTS</w:t>
      </w:r>
    </w:p>
    <w:p w14:paraId="7AC5D48A" w14:textId="368C3208" w:rsidR="005379F4" w:rsidRPr="005379F4" w:rsidRDefault="00047157" w:rsidP="005379F4">
      <w:pPr>
        <w:pStyle w:val="15"/>
        <w:ind w:firstLine="0"/>
        <w:rPr>
          <w:rFonts w:eastAsiaTheme="minorEastAsia" w:cs="Tahoma"/>
          <w:b w:val="0"/>
          <w:bCs w:val="0"/>
          <w:caps w:val="0"/>
          <w:noProof/>
          <w:sz w:val="22"/>
          <w:szCs w:val="22"/>
          <w:lang w:val="ru-RU"/>
        </w:rPr>
      </w:pPr>
      <w:r w:rsidRPr="005379F4">
        <w:rPr>
          <w:rFonts w:cs="Tahoma"/>
        </w:rPr>
        <w:fldChar w:fldCharType="begin"/>
      </w:r>
      <w:r w:rsidRPr="005379F4">
        <w:rPr>
          <w:rFonts w:cs="Tahoma"/>
        </w:rPr>
        <w:instrText xml:space="preserve"> TOC \o "2-3" \h \z \t "Заголовок 1;1;Название;2" </w:instrText>
      </w:r>
      <w:r w:rsidRPr="005379F4">
        <w:rPr>
          <w:rFonts w:cs="Tahoma"/>
        </w:rPr>
        <w:fldChar w:fldCharType="separate"/>
      </w:r>
      <w:hyperlink w:anchor="_Toc198051178" w:history="1">
        <w:r w:rsidR="005379F4" w:rsidRPr="005379F4">
          <w:rPr>
            <w:rStyle w:val="aa"/>
            <w:rFonts w:cs="Tahoma"/>
            <w:noProof/>
          </w:rPr>
          <w:t>1.</w:t>
        </w:r>
        <w:r w:rsidR="005379F4" w:rsidRPr="005379F4">
          <w:rPr>
            <w:rFonts w:eastAsiaTheme="minorEastAsia" w:cs="Tahoma"/>
            <w:b w:val="0"/>
            <w:bCs w:val="0"/>
            <w:caps w:val="0"/>
            <w:noProof/>
            <w:sz w:val="22"/>
            <w:szCs w:val="22"/>
            <w:lang w:val="ru-RU"/>
          </w:rPr>
          <w:tab/>
        </w:r>
        <w:r w:rsidR="005379F4" w:rsidRPr="005379F4">
          <w:rPr>
            <w:rStyle w:val="aa"/>
            <w:rFonts w:cs="Tahoma"/>
            <w:noProof/>
          </w:rPr>
          <w:t>Overview</w:t>
        </w:r>
        <w:r w:rsidR="005379F4" w:rsidRPr="005379F4">
          <w:rPr>
            <w:rFonts w:cs="Tahoma"/>
            <w:noProof/>
            <w:webHidden/>
          </w:rPr>
          <w:tab/>
        </w:r>
        <w:r w:rsidR="005379F4" w:rsidRPr="005379F4">
          <w:rPr>
            <w:rFonts w:cs="Tahoma"/>
            <w:noProof/>
            <w:webHidden/>
          </w:rPr>
          <w:fldChar w:fldCharType="begin"/>
        </w:r>
        <w:r w:rsidR="005379F4" w:rsidRPr="005379F4">
          <w:rPr>
            <w:rFonts w:cs="Tahoma"/>
            <w:noProof/>
            <w:webHidden/>
          </w:rPr>
          <w:instrText xml:space="preserve"> PAGEREF _Toc198051178 \h </w:instrText>
        </w:r>
        <w:r w:rsidR="005379F4" w:rsidRPr="005379F4">
          <w:rPr>
            <w:rFonts w:cs="Tahoma"/>
            <w:noProof/>
            <w:webHidden/>
          </w:rPr>
        </w:r>
        <w:r w:rsidR="005379F4" w:rsidRPr="005379F4">
          <w:rPr>
            <w:rFonts w:cs="Tahoma"/>
            <w:noProof/>
            <w:webHidden/>
          </w:rPr>
          <w:fldChar w:fldCharType="separate"/>
        </w:r>
        <w:r w:rsidR="005379F4" w:rsidRPr="005379F4">
          <w:rPr>
            <w:rFonts w:cs="Tahoma"/>
            <w:noProof/>
            <w:webHidden/>
          </w:rPr>
          <w:t>3</w:t>
        </w:r>
        <w:r w:rsidR="005379F4" w:rsidRPr="005379F4">
          <w:rPr>
            <w:rFonts w:cs="Tahoma"/>
            <w:noProof/>
            <w:webHidden/>
          </w:rPr>
          <w:fldChar w:fldCharType="end"/>
        </w:r>
      </w:hyperlink>
    </w:p>
    <w:p w14:paraId="1277B64F" w14:textId="6031D02C" w:rsidR="005379F4" w:rsidRPr="005379F4" w:rsidRDefault="005379F4" w:rsidP="005379F4">
      <w:pPr>
        <w:pStyle w:val="23"/>
        <w:spacing w:before="120" w:after="120"/>
        <w:rPr>
          <w:rFonts w:eastAsiaTheme="minorEastAsia" w:cs="Tahoma"/>
          <w:noProof/>
          <w:sz w:val="22"/>
          <w:szCs w:val="22"/>
          <w:lang w:val="ru-RU"/>
        </w:rPr>
      </w:pPr>
      <w:hyperlink w:anchor="_Toc198051179" w:history="1">
        <w:r w:rsidRPr="005379F4">
          <w:rPr>
            <w:rStyle w:val="aa"/>
            <w:rFonts w:cs="Tahoma"/>
            <w:noProof/>
          </w:rPr>
          <w:t>1.1.</w:t>
        </w:r>
        <w:r w:rsidRPr="005379F4">
          <w:rPr>
            <w:rFonts w:eastAsiaTheme="minorEastAsia" w:cs="Tahoma"/>
            <w:noProof/>
            <w:sz w:val="22"/>
            <w:szCs w:val="22"/>
            <w:lang w:val="ru-RU"/>
          </w:rPr>
          <w:tab/>
        </w:r>
        <w:r w:rsidRPr="005379F4">
          <w:rPr>
            <w:rStyle w:val="aa"/>
            <w:rFonts w:cs="Tahoma"/>
            <w:noProof/>
          </w:rPr>
          <w:t>Terms and definitions</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_Toc198051179 \h </w:instrText>
        </w:r>
        <w:r w:rsidRPr="005379F4">
          <w:rPr>
            <w:rFonts w:cs="Tahoma"/>
            <w:noProof/>
            <w:webHidden/>
          </w:rPr>
        </w:r>
        <w:r w:rsidRPr="005379F4">
          <w:rPr>
            <w:rFonts w:cs="Tahoma"/>
            <w:noProof/>
            <w:webHidden/>
          </w:rPr>
          <w:fldChar w:fldCharType="separate"/>
        </w:r>
        <w:r w:rsidRPr="005379F4">
          <w:rPr>
            <w:rFonts w:cs="Tahoma"/>
            <w:noProof/>
            <w:webHidden/>
          </w:rPr>
          <w:t>3</w:t>
        </w:r>
        <w:r w:rsidRPr="005379F4">
          <w:rPr>
            <w:rFonts w:cs="Tahoma"/>
            <w:noProof/>
            <w:webHidden/>
          </w:rPr>
          <w:fldChar w:fldCharType="end"/>
        </w:r>
      </w:hyperlink>
    </w:p>
    <w:p w14:paraId="1599B810" w14:textId="4F525030" w:rsidR="005379F4" w:rsidRPr="005379F4" w:rsidRDefault="005379F4" w:rsidP="005379F4">
      <w:pPr>
        <w:pStyle w:val="23"/>
        <w:spacing w:before="120" w:after="120"/>
        <w:rPr>
          <w:rFonts w:eastAsiaTheme="minorEastAsia" w:cs="Tahoma"/>
          <w:noProof/>
          <w:sz w:val="22"/>
          <w:szCs w:val="22"/>
          <w:lang w:val="ru-RU"/>
        </w:rPr>
      </w:pPr>
      <w:hyperlink w:anchor="_Toc198051180" w:history="1">
        <w:r w:rsidRPr="005379F4">
          <w:rPr>
            <w:rStyle w:val="aa"/>
            <w:rFonts w:cs="Tahoma"/>
            <w:noProof/>
          </w:rPr>
          <w:t>1.2.</w:t>
        </w:r>
        <w:r w:rsidRPr="005379F4">
          <w:rPr>
            <w:rFonts w:eastAsiaTheme="minorEastAsia" w:cs="Tahoma"/>
            <w:noProof/>
            <w:sz w:val="22"/>
            <w:szCs w:val="22"/>
            <w:lang w:val="ru-RU"/>
          </w:rPr>
          <w:tab/>
        </w:r>
        <w:r w:rsidRPr="005379F4">
          <w:rPr>
            <w:rStyle w:val="aa"/>
            <w:rFonts w:cs="Tahoma"/>
            <w:noProof/>
          </w:rPr>
          <w:t>The Index family</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_Toc198051180 \h </w:instrText>
        </w:r>
        <w:r w:rsidRPr="005379F4">
          <w:rPr>
            <w:rFonts w:cs="Tahoma"/>
            <w:noProof/>
            <w:webHidden/>
          </w:rPr>
        </w:r>
        <w:r w:rsidRPr="005379F4">
          <w:rPr>
            <w:rFonts w:cs="Tahoma"/>
            <w:noProof/>
            <w:webHidden/>
          </w:rPr>
          <w:fldChar w:fldCharType="separate"/>
        </w:r>
        <w:r w:rsidRPr="005379F4">
          <w:rPr>
            <w:rFonts w:cs="Tahoma"/>
            <w:noProof/>
            <w:webHidden/>
          </w:rPr>
          <w:t>3</w:t>
        </w:r>
        <w:r w:rsidRPr="005379F4">
          <w:rPr>
            <w:rFonts w:cs="Tahoma"/>
            <w:noProof/>
            <w:webHidden/>
          </w:rPr>
          <w:fldChar w:fldCharType="end"/>
        </w:r>
      </w:hyperlink>
    </w:p>
    <w:p w14:paraId="4536FC9A" w14:textId="10EACFE9" w:rsidR="005379F4" w:rsidRPr="005379F4" w:rsidRDefault="005379F4" w:rsidP="005379F4">
      <w:pPr>
        <w:pStyle w:val="15"/>
        <w:ind w:firstLine="0"/>
        <w:rPr>
          <w:rFonts w:eastAsiaTheme="minorEastAsia" w:cs="Tahoma"/>
          <w:b w:val="0"/>
          <w:bCs w:val="0"/>
          <w:caps w:val="0"/>
          <w:noProof/>
          <w:sz w:val="22"/>
          <w:szCs w:val="22"/>
          <w:lang w:val="ru-RU"/>
        </w:rPr>
      </w:pPr>
      <w:hyperlink w:anchor="_Toc198051181" w:history="1">
        <w:r w:rsidRPr="005379F4">
          <w:rPr>
            <w:rStyle w:val="aa"/>
            <w:rFonts w:cs="Tahoma"/>
            <w:noProof/>
          </w:rPr>
          <w:t>2.</w:t>
        </w:r>
        <w:r w:rsidRPr="005379F4">
          <w:rPr>
            <w:rFonts w:eastAsiaTheme="minorEastAsia" w:cs="Tahoma"/>
            <w:b w:val="0"/>
            <w:bCs w:val="0"/>
            <w:caps w:val="0"/>
            <w:noProof/>
            <w:sz w:val="22"/>
            <w:szCs w:val="22"/>
            <w:lang w:val="ru-RU"/>
          </w:rPr>
          <w:tab/>
        </w:r>
        <w:r w:rsidRPr="005379F4">
          <w:rPr>
            <w:rStyle w:val="aa"/>
            <w:rFonts w:cs="Tahoma"/>
            <w:noProof/>
          </w:rPr>
          <w:t>Index Calculation</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_Toc198051181 \h </w:instrText>
        </w:r>
        <w:r w:rsidRPr="005379F4">
          <w:rPr>
            <w:rFonts w:cs="Tahoma"/>
            <w:noProof/>
            <w:webHidden/>
          </w:rPr>
        </w:r>
        <w:r w:rsidRPr="005379F4">
          <w:rPr>
            <w:rFonts w:cs="Tahoma"/>
            <w:noProof/>
            <w:webHidden/>
          </w:rPr>
          <w:fldChar w:fldCharType="separate"/>
        </w:r>
        <w:r w:rsidRPr="005379F4">
          <w:rPr>
            <w:rFonts w:cs="Tahoma"/>
            <w:noProof/>
            <w:webHidden/>
          </w:rPr>
          <w:t>3</w:t>
        </w:r>
        <w:r w:rsidRPr="005379F4">
          <w:rPr>
            <w:rFonts w:cs="Tahoma"/>
            <w:noProof/>
            <w:webHidden/>
          </w:rPr>
          <w:fldChar w:fldCharType="end"/>
        </w:r>
      </w:hyperlink>
    </w:p>
    <w:p w14:paraId="69858206" w14:textId="5D11E6F7" w:rsidR="005379F4" w:rsidRPr="005379F4" w:rsidRDefault="005379F4" w:rsidP="005379F4">
      <w:pPr>
        <w:pStyle w:val="23"/>
        <w:spacing w:before="120" w:after="120"/>
        <w:rPr>
          <w:rFonts w:eastAsiaTheme="minorEastAsia" w:cs="Tahoma"/>
          <w:noProof/>
          <w:sz w:val="22"/>
          <w:szCs w:val="22"/>
          <w:lang w:val="ru-RU"/>
        </w:rPr>
      </w:pPr>
      <w:hyperlink w:anchor="_Toc198051182" w:history="1">
        <w:r w:rsidRPr="005379F4">
          <w:rPr>
            <w:rStyle w:val="aa"/>
            <w:rFonts w:cs="Tahoma"/>
            <w:noProof/>
          </w:rPr>
          <w:t>2.1.</w:t>
        </w:r>
        <w:r w:rsidRPr="005379F4">
          <w:rPr>
            <w:rFonts w:eastAsiaTheme="minorEastAsia" w:cs="Tahoma"/>
            <w:noProof/>
            <w:sz w:val="22"/>
            <w:szCs w:val="22"/>
            <w:lang w:val="ru-RU"/>
          </w:rPr>
          <w:tab/>
        </w:r>
        <w:r w:rsidRPr="005379F4">
          <w:rPr>
            <w:rStyle w:val="aa"/>
            <w:rFonts w:cs="Tahoma"/>
            <w:noProof/>
          </w:rPr>
          <w:t>Index Calculation Method</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_Toc198051182 \h </w:instrText>
        </w:r>
        <w:r w:rsidRPr="005379F4">
          <w:rPr>
            <w:rFonts w:cs="Tahoma"/>
            <w:noProof/>
            <w:webHidden/>
          </w:rPr>
        </w:r>
        <w:r w:rsidRPr="005379F4">
          <w:rPr>
            <w:rFonts w:cs="Tahoma"/>
            <w:noProof/>
            <w:webHidden/>
          </w:rPr>
          <w:fldChar w:fldCharType="separate"/>
        </w:r>
        <w:r w:rsidRPr="005379F4">
          <w:rPr>
            <w:rFonts w:cs="Tahoma"/>
            <w:noProof/>
            <w:webHidden/>
          </w:rPr>
          <w:t>3</w:t>
        </w:r>
        <w:r w:rsidRPr="005379F4">
          <w:rPr>
            <w:rFonts w:cs="Tahoma"/>
            <w:noProof/>
            <w:webHidden/>
          </w:rPr>
          <w:fldChar w:fldCharType="end"/>
        </w:r>
      </w:hyperlink>
    </w:p>
    <w:p w14:paraId="41DA1777" w14:textId="5BE2E41D" w:rsidR="005379F4" w:rsidRPr="005379F4" w:rsidRDefault="005379F4" w:rsidP="005379F4">
      <w:pPr>
        <w:pStyle w:val="23"/>
        <w:spacing w:before="120" w:after="120"/>
        <w:rPr>
          <w:rFonts w:eastAsiaTheme="minorEastAsia" w:cs="Tahoma"/>
          <w:noProof/>
          <w:sz w:val="22"/>
          <w:szCs w:val="22"/>
          <w:lang w:val="ru-RU"/>
        </w:rPr>
      </w:pPr>
      <w:hyperlink w:anchor="_Toc198051183" w:history="1">
        <w:r w:rsidRPr="005379F4">
          <w:rPr>
            <w:rStyle w:val="aa"/>
            <w:rFonts w:cs="Tahoma"/>
            <w:noProof/>
          </w:rPr>
          <w:t>2.2.</w:t>
        </w:r>
        <w:r w:rsidRPr="005379F4">
          <w:rPr>
            <w:rFonts w:eastAsiaTheme="minorEastAsia" w:cs="Tahoma"/>
            <w:noProof/>
            <w:sz w:val="22"/>
            <w:szCs w:val="22"/>
            <w:lang w:val="ru-RU"/>
          </w:rPr>
          <w:tab/>
        </w:r>
        <w:r w:rsidRPr="005379F4">
          <w:rPr>
            <w:rStyle w:val="aa"/>
            <w:rFonts w:cs="Tahoma"/>
            <w:noProof/>
          </w:rPr>
          <w:t>Calculating Limiting Coefficients</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_Toc198051183 \h </w:instrText>
        </w:r>
        <w:r w:rsidRPr="005379F4">
          <w:rPr>
            <w:rFonts w:cs="Tahoma"/>
            <w:noProof/>
            <w:webHidden/>
          </w:rPr>
        </w:r>
        <w:r w:rsidRPr="005379F4">
          <w:rPr>
            <w:rFonts w:cs="Tahoma"/>
            <w:noProof/>
            <w:webHidden/>
          </w:rPr>
          <w:fldChar w:fldCharType="separate"/>
        </w:r>
        <w:r w:rsidRPr="005379F4">
          <w:rPr>
            <w:rFonts w:cs="Tahoma"/>
            <w:noProof/>
            <w:webHidden/>
          </w:rPr>
          <w:t>4</w:t>
        </w:r>
        <w:r w:rsidRPr="005379F4">
          <w:rPr>
            <w:rFonts w:cs="Tahoma"/>
            <w:noProof/>
            <w:webHidden/>
          </w:rPr>
          <w:fldChar w:fldCharType="end"/>
        </w:r>
      </w:hyperlink>
    </w:p>
    <w:p w14:paraId="66C310A9" w14:textId="7599F7AF" w:rsidR="005379F4" w:rsidRPr="005379F4" w:rsidRDefault="005379F4" w:rsidP="005379F4">
      <w:pPr>
        <w:pStyle w:val="15"/>
        <w:ind w:firstLine="0"/>
        <w:rPr>
          <w:rFonts w:eastAsiaTheme="minorEastAsia" w:cs="Tahoma"/>
          <w:b w:val="0"/>
          <w:bCs w:val="0"/>
          <w:caps w:val="0"/>
          <w:noProof/>
          <w:sz w:val="22"/>
          <w:szCs w:val="22"/>
          <w:lang w:val="ru-RU"/>
        </w:rPr>
      </w:pPr>
      <w:hyperlink w:anchor="_Toc198051184" w:history="1">
        <w:r w:rsidRPr="005379F4">
          <w:rPr>
            <w:rStyle w:val="aa"/>
            <w:rFonts w:cs="Tahoma"/>
            <w:noProof/>
          </w:rPr>
          <w:t>3.</w:t>
        </w:r>
        <w:r w:rsidRPr="005379F4">
          <w:rPr>
            <w:rFonts w:eastAsiaTheme="minorEastAsia" w:cs="Tahoma"/>
            <w:b w:val="0"/>
            <w:bCs w:val="0"/>
            <w:caps w:val="0"/>
            <w:noProof/>
            <w:sz w:val="22"/>
            <w:szCs w:val="22"/>
            <w:lang w:val="ru-RU"/>
          </w:rPr>
          <w:tab/>
        </w:r>
        <w:r w:rsidRPr="005379F4">
          <w:rPr>
            <w:rStyle w:val="aa"/>
            <w:rFonts w:cs="Tahoma"/>
            <w:noProof/>
          </w:rPr>
          <w:t>Indices Calculation Frequency and Disclosure</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_Toc198051184 \h </w:instrText>
        </w:r>
        <w:r w:rsidRPr="005379F4">
          <w:rPr>
            <w:rFonts w:cs="Tahoma"/>
            <w:noProof/>
            <w:webHidden/>
          </w:rPr>
        </w:r>
        <w:r w:rsidRPr="005379F4">
          <w:rPr>
            <w:rFonts w:cs="Tahoma"/>
            <w:noProof/>
            <w:webHidden/>
          </w:rPr>
          <w:fldChar w:fldCharType="separate"/>
        </w:r>
        <w:r w:rsidRPr="005379F4">
          <w:rPr>
            <w:rFonts w:cs="Tahoma"/>
            <w:noProof/>
            <w:webHidden/>
          </w:rPr>
          <w:t>4</w:t>
        </w:r>
        <w:r w:rsidRPr="005379F4">
          <w:rPr>
            <w:rFonts w:cs="Tahoma"/>
            <w:noProof/>
            <w:webHidden/>
          </w:rPr>
          <w:fldChar w:fldCharType="end"/>
        </w:r>
      </w:hyperlink>
    </w:p>
    <w:p w14:paraId="64631AD4" w14:textId="593703C1" w:rsidR="005379F4" w:rsidRPr="005379F4" w:rsidRDefault="005379F4" w:rsidP="005379F4">
      <w:pPr>
        <w:pStyle w:val="23"/>
        <w:spacing w:before="120" w:after="120"/>
        <w:rPr>
          <w:rFonts w:eastAsiaTheme="minorEastAsia" w:cs="Tahoma"/>
          <w:noProof/>
          <w:sz w:val="22"/>
          <w:szCs w:val="22"/>
          <w:lang w:val="ru-RU"/>
        </w:rPr>
      </w:pPr>
      <w:hyperlink w:anchor="_Toc198051185" w:history="1">
        <w:r w:rsidRPr="005379F4">
          <w:rPr>
            <w:rStyle w:val="aa"/>
            <w:rFonts w:cs="Tahoma"/>
            <w:noProof/>
          </w:rPr>
          <w:t>3.1.</w:t>
        </w:r>
        <w:r w:rsidRPr="005379F4">
          <w:rPr>
            <w:rFonts w:eastAsiaTheme="minorEastAsia" w:cs="Tahoma"/>
            <w:noProof/>
            <w:sz w:val="22"/>
            <w:szCs w:val="22"/>
            <w:lang w:val="ru-RU"/>
          </w:rPr>
          <w:tab/>
        </w:r>
        <w:r w:rsidRPr="005379F4">
          <w:rPr>
            <w:rStyle w:val="aa"/>
            <w:rFonts w:cs="Tahoma"/>
            <w:noProof/>
          </w:rPr>
          <w:t>Schedule of Calculation</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_Toc198051185 \h </w:instrText>
        </w:r>
        <w:r w:rsidRPr="005379F4">
          <w:rPr>
            <w:rFonts w:cs="Tahoma"/>
            <w:noProof/>
            <w:webHidden/>
          </w:rPr>
        </w:r>
        <w:r w:rsidRPr="005379F4">
          <w:rPr>
            <w:rFonts w:cs="Tahoma"/>
            <w:noProof/>
            <w:webHidden/>
          </w:rPr>
          <w:fldChar w:fldCharType="separate"/>
        </w:r>
        <w:r w:rsidRPr="005379F4">
          <w:rPr>
            <w:rFonts w:cs="Tahoma"/>
            <w:noProof/>
            <w:webHidden/>
          </w:rPr>
          <w:t>4</w:t>
        </w:r>
        <w:r w:rsidRPr="005379F4">
          <w:rPr>
            <w:rFonts w:cs="Tahoma"/>
            <w:noProof/>
            <w:webHidden/>
          </w:rPr>
          <w:fldChar w:fldCharType="end"/>
        </w:r>
      </w:hyperlink>
    </w:p>
    <w:p w14:paraId="49092563" w14:textId="4146B148" w:rsidR="005379F4" w:rsidRPr="005379F4" w:rsidRDefault="005379F4" w:rsidP="005379F4">
      <w:pPr>
        <w:pStyle w:val="23"/>
        <w:spacing w:before="120" w:after="120"/>
        <w:rPr>
          <w:rFonts w:eastAsiaTheme="minorEastAsia" w:cs="Tahoma"/>
          <w:noProof/>
          <w:sz w:val="22"/>
          <w:szCs w:val="22"/>
          <w:lang w:val="ru-RU"/>
        </w:rPr>
      </w:pPr>
      <w:hyperlink w:anchor="_Toc198051186" w:history="1">
        <w:r w:rsidRPr="005379F4">
          <w:rPr>
            <w:rStyle w:val="aa"/>
            <w:rFonts w:cs="Tahoma"/>
            <w:noProof/>
          </w:rPr>
          <w:t>3.2.</w:t>
        </w:r>
        <w:r w:rsidRPr="005379F4">
          <w:rPr>
            <w:rFonts w:eastAsiaTheme="minorEastAsia" w:cs="Tahoma"/>
            <w:noProof/>
            <w:sz w:val="22"/>
            <w:szCs w:val="22"/>
            <w:lang w:val="ru-RU"/>
          </w:rPr>
          <w:tab/>
        </w:r>
        <w:r w:rsidRPr="005379F4">
          <w:rPr>
            <w:rStyle w:val="aa"/>
            <w:rFonts w:cs="Tahoma"/>
            <w:noProof/>
          </w:rPr>
          <w:t>Control Over Calculation of the Indices</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_Toc198051186 \h </w:instrText>
        </w:r>
        <w:r w:rsidRPr="005379F4">
          <w:rPr>
            <w:rFonts w:cs="Tahoma"/>
            <w:noProof/>
            <w:webHidden/>
          </w:rPr>
        </w:r>
        <w:r w:rsidRPr="005379F4">
          <w:rPr>
            <w:rFonts w:cs="Tahoma"/>
            <w:noProof/>
            <w:webHidden/>
          </w:rPr>
          <w:fldChar w:fldCharType="separate"/>
        </w:r>
        <w:r w:rsidRPr="005379F4">
          <w:rPr>
            <w:rFonts w:cs="Tahoma"/>
            <w:noProof/>
            <w:webHidden/>
          </w:rPr>
          <w:t>4</w:t>
        </w:r>
        <w:r w:rsidRPr="005379F4">
          <w:rPr>
            <w:rFonts w:cs="Tahoma"/>
            <w:noProof/>
            <w:webHidden/>
          </w:rPr>
          <w:fldChar w:fldCharType="end"/>
        </w:r>
      </w:hyperlink>
    </w:p>
    <w:p w14:paraId="7EEC0FCB" w14:textId="701E1166" w:rsidR="005379F4" w:rsidRPr="005379F4" w:rsidRDefault="005379F4" w:rsidP="005379F4">
      <w:pPr>
        <w:pStyle w:val="23"/>
        <w:spacing w:before="120" w:after="120"/>
        <w:rPr>
          <w:rFonts w:eastAsiaTheme="minorEastAsia" w:cs="Tahoma"/>
          <w:noProof/>
          <w:sz w:val="22"/>
          <w:szCs w:val="22"/>
          <w:lang w:val="ru-RU"/>
        </w:rPr>
      </w:pPr>
      <w:hyperlink w:anchor="_Toc198051187" w:history="1">
        <w:r w:rsidRPr="005379F4">
          <w:rPr>
            <w:rStyle w:val="aa"/>
            <w:rFonts w:cs="Tahoma"/>
            <w:noProof/>
          </w:rPr>
          <w:t>3.3.</w:t>
        </w:r>
        <w:r w:rsidRPr="005379F4">
          <w:rPr>
            <w:rFonts w:eastAsiaTheme="minorEastAsia" w:cs="Tahoma"/>
            <w:noProof/>
            <w:sz w:val="22"/>
            <w:szCs w:val="22"/>
            <w:lang w:val="ru-RU"/>
          </w:rPr>
          <w:tab/>
        </w:r>
        <w:r w:rsidRPr="005379F4">
          <w:rPr>
            <w:rStyle w:val="aa"/>
            <w:rFonts w:cs="Tahoma"/>
            <w:noProof/>
          </w:rPr>
          <w:t>Publication</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_Toc198051187 \h </w:instrText>
        </w:r>
        <w:r w:rsidRPr="005379F4">
          <w:rPr>
            <w:rFonts w:cs="Tahoma"/>
            <w:noProof/>
            <w:webHidden/>
          </w:rPr>
        </w:r>
        <w:r w:rsidRPr="005379F4">
          <w:rPr>
            <w:rFonts w:cs="Tahoma"/>
            <w:noProof/>
            <w:webHidden/>
          </w:rPr>
          <w:fldChar w:fldCharType="separate"/>
        </w:r>
        <w:r w:rsidRPr="005379F4">
          <w:rPr>
            <w:rFonts w:cs="Tahoma"/>
            <w:noProof/>
            <w:webHidden/>
          </w:rPr>
          <w:t>4</w:t>
        </w:r>
        <w:r w:rsidRPr="005379F4">
          <w:rPr>
            <w:rFonts w:cs="Tahoma"/>
            <w:noProof/>
            <w:webHidden/>
          </w:rPr>
          <w:fldChar w:fldCharType="end"/>
        </w:r>
      </w:hyperlink>
    </w:p>
    <w:p w14:paraId="4126CDDD" w14:textId="1EBCF74E" w:rsidR="005379F4" w:rsidRPr="005379F4" w:rsidRDefault="005379F4" w:rsidP="005379F4">
      <w:pPr>
        <w:pStyle w:val="15"/>
        <w:ind w:firstLine="0"/>
        <w:rPr>
          <w:rFonts w:eastAsiaTheme="minorEastAsia" w:cs="Tahoma"/>
          <w:b w:val="0"/>
          <w:bCs w:val="0"/>
          <w:caps w:val="0"/>
          <w:noProof/>
          <w:sz w:val="22"/>
          <w:szCs w:val="22"/>
          <w:lang w:val="ru-RU"/>
        </w:rPr>
      </w:pPr>
      <w:hyperlink w:anchor="_Toc198051188" w:history="1">
        <w:r w:rsidRPr="005379F4">
          <w:rPr>
            <w:rStyle w:val="aa"/>
            <w:rFonts w:cs="Tahoma"/>
            <w:noProof/>
          </w:rPr>
          <w:t>Appendix 1</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_Toc198051188 \h </w:instrText>
        </w:r>
        <w:r w:rsidRPr="005379F4">
          <w:rPr>
            <w:rFonts w:cs="Tahoma"/>
            <w:noProof/>
            <w:webHidden/>
          </w:rPr>
        </w:r>
        <w:r w:rsidRPr="005379F4">
          <w:rPr>
            <w:rFonts w:cs="Tahoma"/>
            <w:noProof/>
            <w:webHidden/>
          </w:rPr>
          <w:fldChar w:fldCharType="separate"/>
        </w:r>
        <w:r w:rsidRPr="005379F4">
          <w:rPr>
            <w:rFonts w:cs="Tahoma"/>
            <w:noProof/>
            <w:webHidden/>
          </w:rPr>
          <w:t>6</w:t>
        </w:r>
        <w:r w:rsidRPr="005379F4">
          <w:rPr>
            <w:rFonts w:cs="Tahoma"/>
            <w:noProof/>
            <w:webHidden/>
          </w:rPr>
          <w:fldChar w:fldCharType="end"/>
        </w:r>
      </w:hyperlink>
    </w:p>
    <w:p w14:paraId="08B47F84" w14:textId="2E929BFA" w:rsidR="005379F4" w:rsidRPr="005379F4" w:rsidRDefault="005379F4" w:rsidP="005379F4">
      <w:pPr>
        <w:pStyle w:val="15"/>
        <w:ind w:firstLine="0"/>
        <w:rPr>
          <w:rFonts w:eastAsiaTheme="minorEastAsia" w:cs="Tahoma"/>
          <w:b w:val="0"/>
          <w:bCs w:val="0"/>
          <w:caps w:val="0"/>
          <w:noProof/>
          <w:sz w:val="22"/>
          <w:szCs w:val="22"/>
          <w:lang w:val="ru-RU"/>
        </w:rPr>
      </w:pPr>
      <w:hyperlink w:anchor="_Toc198051189" w:history="1">
        <w:r w:rsidRPr="005379F4">
          <w:rPr>
            <w:rStyle w:val="aa"/>
            <w:rFonts w:cs="Tahoma"/>
            <w:noProof/>
          </w:rPr>
          <w:t>Appendix 2</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_Toc198051189 \h </w:instrText>
        </w:r>
        <w:r w:rsidRPr="005379F4">
          <w:rPr>
            <w:rFonts w:cs="Tahoma"/>
            <w:noProof/>
            <w:webHidden/>
          </w:rPr>
        </w:r>
        <w:r w:rsidRPr="005379F4">
          <w:rPr>
            <w:rFonts w:cs="Tahoma"/>
            <w:noProof/>
            <w:webHidden/>
          </w:rPr>
          <w:fldChar w:fldCharType="separate"/>
        </w:r>
        <w:r w:rsidRPr="005379F4">
          <w:rPr>
            <w:rFonts w:cs="Tahoma"/>
            <w:noProof/>
            <w:webHidden/>
          </w:rPr>
          <w:t>7</w:t>
        </w:r>
        <w:r w:rsidRPr="005379F4">
          <w:rPr>
            <w:rFonts w:cs="Tahoma"/>
            <w:noProof/>
            <w:webHidden/>
          </w:rPr>
          <w:fldChar w:fldCharType="end"/>
        </w:r>
      </w:hyperlink>
    </w:p>
    <w:p w14:paraId="0F8C9178" w14:textId="2A9F965F" w:rsidR="005379F4" w:rsidRPr="005379F4" w:rsidRDefault="005379F4" w:rsidP="005379F4">
      <w:pPr>
        <w:pStyle w:val="15"/>
        <w:ind w:firstLine="0"/>
        <w:rPr>
          <w:rFonts w:eastAsiaTheme="minorEastAsia" w:cs="Tahoma"/>
          <w:b w:val="0"/>
          <w:bCs w:val="0"/>
          <w:caps w:val="0"/>
          <w:noProof/>
          <w:sz w:val="22"/>
          <w:szCs w:val="22"/>
          <w:lang w:val="ru-RU"/>
        </w:rPr>
      </w:pPr>
      <w:hyperlink w:anchor="_Toc198051190" w:history="1">
        <w:r w:rsidRPr="005379F4">
          <w:rPr>
            <w:rStyle w:val="aa"/>
            <w:rFonts w:cs="Tahoma"/>
            <w:noProof/>
          </w:rPr>
          <w:t>Appendix 3</w:t>
        </w:r>
        <w:r w:rsidRPr="005379F4">
          <w:rPr>
            <w:rFonts w:cs="Tahoma"/>
            <w:noProof/>
            <w:webHidden/>
          </w:rPr>
          <w:tab/>
        </w:r>
        <w:r w:rsidRPr="005379F4">
          <w:rPr>
            <w:rFonts w:cs="Tahoma"/>
            <w:noProof/>
            <w:webHidden/>
          </w:rPr>
          <w:fldChar w:fldCharType="begin"/>
        </w:r>
        <w:r w:rsidRPr="005379F4">
          <w:rPr>
            <w:rFonts w:cs="Tahoma"/>
            <w:noProof/>
            <w:webHidden/>
          </w:rPr>
          <w:instrText xml:space="preserve"> PAGEREF _Toc198051190 \h </w:instrText>
        </w:r>
        <w:r w:rsidRPr="005379F4">
          <w:rPr>
            <w:rFonts w:cs="Tahoma"/>
            <w:noProof/>
            <w:webHidden/>
          </w:rPr>
        </w:r>
        <w:r w:rsidRPr="005379F4">
          <w:rPr>
            <w:rFonts w:cs="Tahoma"/>
            <w:noProof/>
            <w:webHidden/>
          </w:rPr>
          <w:fldChar w:fldCharType="separate"/>
        </w:r>
        <w:r w:rsidRPr="005379F4">
          <w:rPr>
            <w:rFonts w:cs="Tahoma"/>
            <w:noProof/>
            <w:webHidden/>
          </w:rPr>
          <w:t>8</w:t>
        </w:r>
        <w:r w:rsidRPr="005379F4">
          <w:rPr>
            <w:rFonts w:cs="Tahoma"/>
            <w:noProof/>
            <w:webHidden/>
          </w:rPr>
          <w:fldChar w:fldCharType="end"/>
        </w:r>
      </w:hyperlink>
    </w:p>
    <w:p w14:paraId="3DEF2CE1" w14:textId="4133C97F" w:rsidR="00047157" w:rsidRPr="005379F4" w:rsidRDefault="00047157" w:rsidP="005379F4">
      <w:pPr>
        <w:spacing w:before="120" w:after="120"/>
        <w:rPr>
          <w:rFonts w:cs="Tahoma"/>
        </w:rPr>
      </w:pPr>
      <w:r w:rsidRPr="005379F4">
        <w:rPr>
          <w:rFonts w:cs="Tahoma"/>
        </w:rPr>
        <w:fldChar w:fldCharType="end"/>
      </w:r>
    </w:p>
    <w:p w14:paraId="1B997F6B" w14:textId="77777777" w:rsidR="00A916CD" w:rsidRPr="005379F4" w:rsidRDefault="00A916CD" w:rsidP="005379F4">
      <w:pPr>
        <w:spacing w:before="120" w:after="120"/>
        <w:rPr>
          <w:rFonts w:cs="Tahoma"/>
        </w:rPr>
      </w:pPr>
    </w:p>
    <w:p w14:paraId="6AB9FC58" w14:textId="62B2D353" w:rsidR="00E17B1E" w:rsidRPr="005379F4" w:rsidRDefault="00DC523B" w:rsidP="005379F4">
      <w:pPr>
        <w:pStyle w:val="10"/>
        <w:spacing w:before="120" w:after="120"/>
        <w:ind w:firstLine="0"/>
        <w:rPr>
          <w:rFonts w:cs="Tahoma"/>
        </w:rPr>
      </w:pPr>
      <w:r w:rsidRPr="005379F4">
        <w:rPr>
          <w:rFonts w:cs="Tahoma"/>
        </w:rPr>
        <w:br w:type="page"/>
      </w:r>
      <w:bookmarkStart w:id="0" w:name="_Toc198051178"/>
      <w:r w:rsidRPr="005379F4">
        <w:rPr>
          <w:rFonts w:cs="Tahoma"/>
        </w:rPr>
        <w:lastRenderedPageBreak/>
        <w:t>Overview</w:t>
      </w:r>
      <w:bookmarkEnd w:id="0"/>
    </w:p>
    <w:p w14:paraId="7C1298F4" w14:textId="4D5E3407" w:rsidR="00AF15EE" w:rsidRPr="005379F4" w:rsidRDefault="00CB6ACD" w:rsidP="005379F4">
      <w:pPr>
        <w:pStyle w:val="a"/>
        <w:spacing w:before="120" w:after="120"/>
        <w:ind w:firstLine="0"/>
        <w:rPr>
          <w:rFonts w:cs="Tahoma"/>
        </w:rPr>
      </w:pPr>
      <w:bookmarkStart w:id="1" w:name="_Toc424122347"/>
      <w:bookmarkStart w:id="2" w:name="_Toc438206723"/>
      <w:bookmarkStart w:id="3" w:name="_Toc438206759"/>
      <w:bookmarkStart w:id="4" w:name="_Toc438206979"/>
      <w:bookmarkStart w:id="5" w:name="_Toc433902895"/>
      <w:bookmarkStart w:id="6" w:name="_Toc463443749"/>
      <w:bookmarkStart w:id="7" w:name="_Toc488065462"/>
      <w:bookmarkStart w:id="8" w:name="_Toc47009974"/>
      <w:bookmarkStart w:id="9" w:name="_Toc198051179"/>
      <w:r w:rsidRPr="005379F4">
        <w:rPr>
          <w:rFonts w:cs="Tahoma"/>
        </w:rPr>
        <w:t>Terms and definitions</w:t>
      </w:r>
      <w:bookmarkEnd w:id="1"/>
      <w:bookmarkEnd w:id="2"/>
      <w:bookmarkEnd w:id="3"/>
      <w:bookmarkEnd w:id="4"/>
      <w:bookmarkEnd w:id="5"/>
      <w:bookmarkEnd w:id="6"/>
      <w:bookmarkEnd w:id="7"/>
      <w:bookmarkEnd w:id="8"/>
      <w:bookmarkEnd w:id="9"/>
    </w:p>
    <w:p w14:paraId="7082B270" w14:textId="21D2BC00" w:rsidR="007C42B0" w:rsidRPr="005379F4" w:rsidRDefault="001D1A32" w:rsidP="005379F4">
      <w:pPr>
        <w:pStyle w:val="30"/>
        <w:numPr>
          <w:ilvl w:val="0"/>
          <w:numId w:val="0"/>
        </w:numPr>
        <w:spacing w:before="120" w:after="120"/>
        <w:ind w:left="1134"/>
        <w:rPr>
          <w:rStyle w:val="af9"/>
          <w:rFonts w:ascii="Tahoma" w:hAnsi="Tahoma" w:cs="Tahoma"/>
          <w:szCs w:val="24"/>
        </w:rPr>
      </w:pPr>
      <w:bookmarkStart w:id="10" w:name="_Ref424309154"/>
      <w:r w:rsidRPr="005379F4">
        <w:rPr>
          <w:rStyle w:val="af9"/>
          <w:rFonts w:ascii="Tahoma" w:hAnsi="Tahoma" w:cs="Tahoma"/>
        </w:rPr>
        <w:t>The following terms and definitions shall apply in this MOEX Target Date Index Series Methodology by Public Joint-Stock Company Moscow Exchange MICEX-RTS (the "Methodology"):</w:t>
      </w:r>
      <w:bookmarkEnd w:id="10"/>
    </w:p>
    <w:p w14:paraId="5736713D" w14:textId="53C0125F" w:rsidR="00A82E8B" w:rsidRPr="005379F4" w:rsidRDefault="00A82E8B" w:rsidP="005379F4">
      <w:pPr>
        <w:pStyle w:val="11"/>
        <w:spacing w:before="120" w:after="120"/>
        <w:ind w:hanging="567"/>
        <w:rPr>
          <w:rStyle w:val="af9"/>
          <w:rFonts w:ascii="Tahoma" w:hAnsi="Tahoma" w:cs="Tahoma"/>
        </w:rPr>
      </w:pPr>
      <w:r w:rsidRPr="005379F4">
        <w:rPr>
          <w:rStyle w:val="af9"/>
          <w:rFonts w:ascii="Tahoma" w:hAnsi="Tahoma" w:cs="Tahoma"/>
          <w:u w:val="single"/>
        </w:rPr>
        <w:t>Index Constituents</w:t>
      </w:r>
      <w:r w:rsidRPr="005379F4">
        <w:rPr>
          <w:rStyle w:val="af9"/>
          <w:rFonts w:ascii="Tahoma" w:hAnsi="Tahoma" w:cs="Tahoma"/>
        </w:rPr>
        <w:t xml:space="preserve"> means all securities in the Sub-Index.</w:t>
      </w:r>
    </w:p>
    <w:p w14:paraId="0A8DA584" w14:textId="077F7CED" w:rsidR="00690175" w:rsidRPr="005379F4" w:rsidRDefault="00690175" w:rsidP="005379F4">
      <w:pPr>
        <w:pStyle w:val="11"/>
        <w:spacing w:before="120" w:after="120"/>
        <w:ind w:hanging="567"/>
        <w:rPr>
          <w:rStyle w:val="af9"/>
          <w:rFonts w:ascii="Tahoma" w:hAnsi="Tahoma" w:cs="Tahoma"/>
        </w:rPr>
      </w:pPr>
      <w:r w:rsidRPr="005379F4">
        <w:rPr>
          <w:rStyle w:val="af9"/>
          <w:rFonts w:ascii="Tahoma" w:hAnsi="Tahoma" w:cs="Tahoma"/>
          <w:u w:val="single"/>
        </w:rPr>
        <w:t>The Exchange, Moscow Exchange</w:t>
      </w:r>
      <w:r w:rsidRPr="005379F4">
        <w:rPr>
          <w:rStyle w:val="af9"/>
          <w:rFonts w:ascii="Tahoma" w:hAnsi="Tahoma" w:cs="Tahoma"/>
        </w:rPr>
        <w:t xml:space="preserve"> means Public Joint-Stock Company Moscow Exchange MICEX-RTS.</w:t>
      </w:r>
    </w:p>
    <w:p w14:paraId="085FFCA2" w14:textId="15EE5212" w:rsidR="00A82E8B" w:rsidRPr="005379F4" w:rsidRDefault="002A7B55" w:rsidP="005379F4">
      <w:pPr>
        <w:pStyle w:val="11"/>
        <w:spacing w:before="120" w:after="120"/>
        <w:ind w:hanging="567"/>
        <w:rPr>
          <w:rStyle w:val="af9"/>
          <w:rFonts w:ascii="Tahoma" w:hAnsi="Tahoma" w:cs="Tahoma"/>
        </w:rPr>
      </w:pPr>
      <w:r w:rsidRPr="005379F4">
        <w:rPr>
          <w:rFonts w:cs="Tahoma"/>
          <w:u w:val="single"/>
        </w:rPr>
        <w:t>Index</w:t>
      </w:r>
      <w:r w:rsidRPr="005379F4">
        <w:rPr>
          <w:rFonts w:cs="Tahoma"/>
        </w:rPr>
        <w:t xml:space="preserve"> means a composite index of public market financial instruments calculated by the Exchange on the basis of the values of the Sub-Indices.</w:t>
      </w:r>
    </w:p>
    <w:p w14:paraId="230C4D48" w14:textId="238C828E" w:rsidR="00C22340" w:rsidRPr="005379F4" w:rsidRDefault="00364CE7" w:rsidP="005379F4">
      <w:pPr>
        <w:pStyle w:val="11"/>
        <w:spacing w:before="120" w:after="120"/>
        <w:ind w:hanging="567"/>
        <w:rPr>
          <w:rStyle w:val="af9"/>
          <w:rFonts w:ascii="Tahoma" w:hAnsi="Tahoma" w:cs="Tahoma"/>
        </w:rPr>
      </w:pPr>
      <w:r w:rsidRPr="005379F4">
        <w:rPr>
          <w:rFonts w:cs="Tahoma"/>
          <w:u w:val="single"/>
        </w:rPr>
        <w:t>Sub-Index</w:t>
      </w:r>
      <w:r w:rsidRPr="005379F4">
        <w:rPr>
          <w:rFonts w:cs="Tahoma"/>
        </w:rPr>
        <w:t xml:space="preserve"> is an index calculated by the Exchange on the basis of trades executed on the Exchange in securities and other financial instruments that tracks changes in the aggregate value of a selection of assets.</w:t>
      </w:r>
    </w:p>
    <w:p w14:paraId="7CCEFDEE" w14:textId="39593238" w:rsidR="00A82E8B" w:rsidRPr="005379F4" w:rsidRDefault="00A82E8B" w:rsidP="005379F4">
      <w:pPr>
        <w:pStyle w:val="11"/>
        <w:spacing w:before="120" w:after="120"/>
        <w:ind w:hanging="567"/>
        <w:rPr>
          <w:rFonts w:cs="Tahoma"/>
        </w:rPr>
      </w:pPr>
      <w:r w:rsidRPr="005379F4">
        <w:rPr>
          <w:rFonts w:cs="Tahoma"/>
          <w:u w:val="single"/>
        </w:rPr>
        <w:t>Weight</w:t>
      </w:r>
      <w:r w:rsidRPr="005379F4">
        <w:rPr>
          <w:rFonts w:cs="Tahoma"/>
        </w:rPr>
        <w:t xml:space="preserve"> means the percentage of the value of the financial instrument out of the total value of all Index Constituent financial instruments.</w:t>
      </w:r>
    </w:p>
    <w:p w14:paraId="54F55C64" w14:textId="271A5C9B" w:rsidR="0036345D" w:rsidRPr="005379F4" w:rsidRDefault="0036345D" w:rsidP="005379F4">
      <w:pPr>
        <w:pStyle w:val="11"/>
        <w:spacing w:before="120" w:after="120"/>
        <w:ind w:hanging="567"/>
        <w:rPr>
          <w:rFonts w:cs="Tahoma"/>
        </w:rPr>
      </w:pPr>
      <w:r w:rsidRPr="005379F4">
        <w:rPr>
          <w:rFonts w:cs="Tahoma"/>
          <w:u w:val="single"/>
        </w:rPr>
        <w:t>Target Date</w:t>
      </w:r>
      <w:r w:rsidRPr="005379F4">
        <w:rPr>
          <w:rFonts w:cs="Tahoma"/>
        </w:rPr>
        <w:t xml:space="preserve"> means a future date that defines the weights of the Sub-Indices in the Indices. This is the third Thursday in December in the year of the Target Date.</w:t>
      </w:r>
    </w:p>
    <w:p w14:paraId="0154323B" w14:textId="7FD62278" w:rsidR="00D657AF" w:rsidRPr="005379F4" w:rsidRDefault="00D657AF" w:rsidP="005379F4">
      <w:pPr>
        <w:pStyle w:val="11"/>
        <w:spacing w:before="120" w:after="120"/>
        <w:ind w:hanging="567"/>
        <w:rPr>
          <w:rFonts w:cs="Tahoma"/>
        </w:rPr>
      </w:pPr>
      <w:r w:rsidRPr="005379F4">
        <w:rPr>
          <w:rFonts w:cs="Tahoma"/>
          <w:u w:val="single"/>
        </w:rPr>
        <w:t>Issuer</w:t>
      </w:r>
      <w:r w:rsidRPr="005379F4">
        <w:rPr>
          <w:rFonts w:cs="Tahoma"/>
        </w:rPr>
        <w:t xml:space="preserve"> means an issuer of ordinary shares, preferred shares, represented shares, bonds or OFZ.</w:t>
      </w:r>
    </w:p>
    <w:p w14:paraId="5C8DD66C" w14:textId="25CF3229" w:rsidR="001D1A32" w:rsidRPr="005379F4" w:rsidRDefault="0072716F" w:rsidP="005379F4">
      <w:pPr>
        <w:pStyle w:val="30"/>
        <w:numPr>
          <w:ilvl w:val="0"/>
          <w:numId w:val="0"/>
        </w:numPr>
        <w:spacing w:before="120" w:after="120"/>
        <w:ind w:left="1134"/>
        <w:rPr>
          <w:rStyle w:val="af9"/>
          <w:rFonts w:ascii="Tahoma" w:hAnsi="Tahoma" w:cs="Tahoma"/>
          <w:szCs w:val="24"/>
        </w:rPr>
      </w:pPr>
      <w:r w:rsidRPr="005379F4">
        <w:rPr>
          <w:rStyle w:val="af9"/>
          <w:rFonts w:ascii="Tahoma" w:hAnsi="Tahoma" w:cs="Tahoma"/>
        </w:rPr>
        <w:t>Terms not specifically defined herein shall be construed in accordance with other documents of the Exchange as well as the law and regulatory acts of the Bank of Russia.</w:t>
      </w:r>
    </w:p>
    <w:p w14:paraId="4867C3C7" w14:textId="77777777" w:rsidR="00657BF4" w:rsidRPr="005379F4" w:rsidRDefault="00657BF4" w:rsidP="005379F4">
      <w:pPr>
        <w:spacing w:before="120" w:after="120"/>
        <w:rPr>
          <w:rFonts w:cs="Tahoma"/>
        </w:rPr>
      </w:pPr>
    </w:p>
    <w:p w14:paraId="49C6B3D2" w14:textId="77777777" w:rsidR="00A65D01" w:rsidRPr="005379F4" w:rsidRDefault="00A65D01" w:rsidP="005379F4">
      <w:pPr>
        <w:pStyle w:val="a"/>
        <w:tabs>
          <w:tab w:val="clear" w:pos="9344"/>
        </w:tabs>
        <w:spacing w:before="120" w:after="120"/>
        <w:ind w:left="680" w:firstLine="0"/>
        <w:rPr>
          <w:rStyle w:val="af9"/>
          <w:rFonts w:ascii="Tahoma" w:hAnsi="Tahoma" w:cs="Tahoma"/>
        </w:rPr>
      </w:pPr>
      <w:bookmarkStart w:id="11" w:name="_Toc424122348"/>
      <w:bookmarkStart w:id="12" w:name="_Toc438206724"/>
      <w:bookmarkStart w:id="13" w:name="_Toc438206760"/>
      <w:bookmarkStart w:id="14" w:name="_Toc438206980"/>
      <w:bookmarkStart w:id="15" w:name="_Toc433902896"/>
      <w:bookmarkStart w:id="16" w:name="_Toc463443750"/>
      <w:bookmarkStart w:id="17" w:name="_Toc488065463"/>
      <w:bookmarkStart w:id="18" w:name="_Toc176857241"/>
      <w:bookmarkStart w:id="19" w:name="_Toc198051180"/>
      <w:r w:rsidRPr="005379F4">
        <w:rPr>
          <w:rStyle w:val="af9"/>
          <w:rFonts w:ascii="Tahoma" w:hAnsi="Tahoma" w:cs="Tahoma"/>
        </w:rPr>
        <w:t>The Index family</w:t>
      </w:r>
      <w:bookmarkEnd w:id="11"/>
      <w:bookmarkEnd w:id="12"/>
      <w:bookmarkEnd w:id="13"/>
      <w:bookmarkEnd w:id="14"/>
      <w:bookmarkEnd w:id="15"/>
      <w:bookmarkEnd w:id="16"/>
      <w:bookmarkEnd w:id="17"/>
      <w:bookmarkEnd w:id="18"/>
      <w:bookmarkEnd w:id="19"/>
    </w:p>
    <w:p w14:paraId="66ED57DA" w14:textId="2249E76A" w:rsidR="00A65D01" w:rsidRPr="005379F4" w:rsidRDefault="00A65D01" w:rsidP="005379F4">
      <w:pPr>
        <w:pStyle w:val="30"/>
        <w:spacing w:before="120" w:after="120"/>
        <w:ind w:left="1560" w:hanging="709"/>
        <w:rPr>
          <w:rFonts w:cs="Tahoma"/>
        </w:rPr>
      </w:pPr>
      <w:r w:rsidRPr="005379F4">
        <w:rPr>
          <w:rFonts w:cs="Tahoma"/>
        </w:rPr>
        <w:t xml:space="preserve">The MOEX Target Date Index Series comprises a composite Index of publicly traded financial instruments, calculated by the Exchange based on the values of the Sub-Indices. </w:t>
      </w:r>
    </w:p>
    <w:p w14:paraId="38D1D9DE" w14:textId="77777777" w:rsidR="00F70FE2" w:rsidRPr="005379F4" w:rsidRDefault="00F70FE2" w:rsidP="005379F4">
      <w:pPr>
        <w:pStyle w:val="30"/>
        <w:spacing w:before="120" w:after="120"/>
        <w:ind w:left="1560" w:hanging="709"/>
        <w:rPr>
          <w:rFonts w:cs="Tahoma"/>
        </w:rPr>
      </w:pPr>
      <w:r w:rsidRPr="005379F4">
        <w:rPr>
          <w:rFonts w:cs="Tahoma"/>
        </w:rPr>
        <w:t>The codes and names of the Indices are formed according to the following rules:</w:t>
      </w:r>
    </w:p>
    <w:tbl>
      <w:tblPr>
        <w:tblStyle w:val="a8"/>
        <w:tblW w:w="8361" w:type="dxa"/>
        <w:tblInd w:w="1129" w:type="dxa"/>
        <w:tblLook w:val="04A0" w:firstRow="1" w:lastRow="0" w:firstColumn="1" w:lastColumn="0" w:noHBand="0" w:noVBand="1"/>
      </w:tblPr>
      <w:tblGrid>
        <w:gridCol w:w="2268"/>
        <w:gridCol w:w="6093"/>
      </w:tblGrid>
      <w:tr w:rsidR="00F70FE2" w:rsidRPr="005379F4" w14:paraId="23756150" w14:textId="77777777" w:rsidTr="00F70FE2">
        <w:trPr>
          <w:trHeight w:val="387"/>
        </w:trPr>
        <w:tc>
          <w:tcPr>
            <w:tcW w:w="2268" w:type="dxa"/>
            <w:tcBorders>
              <w:bottom w:val="single" w:sz="4" w:space="0" w:color="auto"/>
            </w:tcBorders>
            <w:vAlign w:val="center"/>
          </w:tcPr>
          <w:p w14:paraId="659FE852" w14:textId="77777777" w:rsidR="00F70FE2" w:rsidRPr="005379F4" w:rsidRDefault="00F70FE2" w:rsidP="005379F4">
            <w:pPr>
              <w:pStyle w:val="30"/>
              <w:numPr>
                <w:ilvl w:val="0"/>
                <w:numId w:val="0"/>
              </w:numPr>
              <w:spacing w:before="120" w:after="120"/>
              <w:jc w:val="left"/>
              <w:rPr>
                <w:rFonts w:cs="Tahoma"/>
                <w:sz w:val="22"/>
                <w:szCs w:val="22"/>
              </w:rPr>
            </w:pPr>
            <w:r w:rsidRPr="005379F4">
              <w:rPr>
                <w:rFonts w:cs="Tahoma"/>
                <w:sz w:val="22"/>
              </w:rPr>
              <w:t>Index code</w:t>
            </w:r>
          </w:p>
        </w:tc>
        <w:tc>
          <w:tcPr>
            <w:tcW w:w="6093" w:type="dxa"/>
            <w:tcBorders>
              <w:bottom w:val="single" w:sz="4" w:space="0" w:color="auto"/>
            </w:tcBorders>
            <w:vAlign w:val="center"/>
          </w:tcPr>
          <w:p w14:paraId="42A0875A" w14:textId="77777777" w:rsidR="00F70FE2" w:rsidRPr="005379F4" w:rsidRDefault="00F70FE2" w:rsidP="005379F4">
            <w:pPr>
              <w:pStyle w:val="30"/>
              <w:numPr>
                <w:ilvl w:val="0"/>
                <w:numId w:val="0"/>
              </w:numPr>
              <w:spacing w:before="120" w:after="120"/>
              <w:jc w:val="left"/>
              <w:rPr>
                <w:rFonts w:cs="Tahoma"/>
                <w:b/>
                <w:sz w:val="22"/>
                <w:szCs w:val="22"/>
              </w:rPr>
            </w:pPr>
            <w:r w:rsidRPr="005379F4">
              <w:rPr>
                <w:rFonts w:cs="Tahoma"/>
              </w:rPr>
              <w:t>MXTDFI&lt;year of target date&gt;</w:t>
            </w:r>
          </w:p>
        </w:tc>
      </w:tr>
      <w:tr w:rsidR="00F70FE2" w:rsidRPr="005379F4" w14:paraId="01B13AAC" w14:textId="77777777" w:rsidTr="00F70FE2">
        <w:trPr>
          <w:trHeight w:val="330"/>
        </w:trPr>
        <w:tc>
          <w:tcPr>
            <w:tcW w:w="2268" w:type="dxa"/>
            <w:shd w:val="clear" w:color="auto" w:fill="auto"/>
            <w:vAlign w:val="center"/>
          </w:tcPr>
          <w:p w14:paraId="6922F6D4" w14:textId="77777777" w:rsidR="00F70FE2" w:rsidRPr="005379F4" w:rsidRDefault="00F70FE2" w:rsidP="005379F4">
            <w:pPr>
              <w:pStyle w:val="30"/>
              <w:numPr>
                <w:ilvl w:val="0"/>
                <w:numId w:val="0"/>
              </w:numPr>
              <w:spacing w:before="120" w:after="120"/>
              <w:jc w:val="left"/>
              <w:rPr>
                <w:rFonts w:cs="Tahoma"/>
                <w:sz w:val="22"/>
                <w:szCs w:val="22"/>
              </w:rPr>
            </w:pPr>
            <w:r w:rsidRPr="005379F4">
              <w:rPr>
                <w:rFonts w:cs="Tahoma"/>
                <w:sz w:val="22"/>
              </w:rPr>
              <w:t>Name in Russian</w:t>
            </w:r>
          </w:p>
        </w:tc>
        <w:tc>
          <w:tcPr>
            <w:tcW w:w="6093" w:type="dxa"/>
            <w:shd w:val="clear" w:color="auto" w:fill="auto"/>
            <w:vAlign w:val="center"/>
          </w:tcPr>
          <w:p w14:paraId="7D6408C4" w14:textId="77777777" w:rsidR="00F70FE2" w:rsidRPr="005379F4" w:rsidRDefault="00F70FE2" w:rsidP="005379F4">
            <w:pPr>
              <w:pStyle w:val="30"/>
              <w:numPr>
                <w:ilvl w:val="0"/>
                <w:numId w:val="0"/>
              </w:numPr>
              <w:spacing w:before="120" w:after="120"/>
              <w:jc w:val="left"/>
              <w:rPr>
                <w:rFonts w:cs="Tahoma"/>
                <w:sz w:val="22"/>
                <w:szCs w:val="22"/>
                <w:lang w:val="ru-RU"/>
              </w:rPr>
            </w:pPr>
            <w:r w:rsidRPr="005379F4">
              <w:rPr>
                <w:rFonts w:cs="Tahoma"/>
                <w:lang w:val="ru-RU"/>
              </w:rPr>
              <w:t xml:space="preserve">Индекс </w:t>
            </w:r>
            <w:proofErr w:type="spellStart"/>
            <w:r w:rsidRPr="005379F4">
              <w:rPr>
                <w:rFonts w:cs="Tahoma"/>
                <w:lang w:val="ru-RU"/>
              </w:rPr>
              <w:t>МосБиржи</w:t>
            </w:r>
            <w:proofErr w:type="spellEnd"/>
            <w:r w:rsidRPr="005379F4">
              <w:rPr>
                <w:rFonts w:cs="Tahoma"/>
                <w:lang w:val="ru-RU"/>
              </w:rPr>
              <w:t xml:space="preserve"> с целевой датой &lt;год целевой даты&gt;</w:t>
            </w:r>
          </w:p>
        </w:tc>
      </w:tr>
      <w:tr w:rsidR="00F70FE2" w:rsidRPr="005379F4" w14:paraId="56BE1F0B" w14:textId="77777777" w:rsidTr="00F70FE2">
        <w:trPr>
          <w:trHeight w:val="219"/>
        </w:trPr>
        <w:tc>
          <w:tcPr>
            <w:tcW w:w="2268" w:type="dxa"/>
            <w:shd w:val="clear" w:color="auto" w:fill="FFFFFF" w:themeFill="background1"/>
            <w:vAlign w:val="center"/>
          </w:tcPr>
          <w:p w14:paraId="07248884" w14:textId="77777777" w:rsidR="00F70FE2" w:rsidRPr="005379F4" w:rsidRDefault="00F70FE2" w:rsidP="005379F4">
            <w:pPr>
              <w:pStyle w:val="30"/>
              <w:numPr>
                <w:ilvl w:val="0"/>
                <w:numId w:val="0"/>
              </w:numPr>
              <w:spacing w:before="120" w:after="120"/>
              <w:jc w:val="left"/>
              <w:rPr>
                <w:rFonts w:cs="Tahoma"/>
                <w:sz w:val="22"/>
                <w:szCs w:val="22"/>
              </w:rPr>
            </w:pPr>
            <w:r w:rsidRPr="005379F4">
              <w:rPr>
                <w:rFonts w:cs="Tahoma"/>
                <w:sz w:val="22"/>
              </w:rPr>
              <w:t>Name in English</w:t>
            </w:r>
          </w:p>
        </w:tc>
        <w:tc>
          <w:tcPr>
            <w:tcW w:w="6093" w:type="dxa"/>
            <w:shd w:val="clear" w:color="auto" w:fill="FFFFFF" w:themeFill="background1"/>
            <w:vAlign w:val="center"/>
          </w:tcPr>
          <w:p w14:paraId="1F95F3FE" w14:textId="77777777" w:rsidR="00F70FE2" w:rsidRPr="005379F4" w:rsidRDefault="00F70FE2" w:rsidP="005379F4">
            <w:pPr>
              <w:pStyle w:val="30"/>
              <w:numPr>
                <w:ilvl w:val="0"/>
                <w:numId w:val="0"/>
              </w:numPr>
              <w:spacing w:before="120" w:after="120"/>
              <w:jc w:val="left"/>
              <w:rPr>
                <w:rFonts w:cs="Tahoma"/>
                <w:sz w:val="22"/>
                <w:szCs w:val="22"/>
              </w:rPr>
            </w:pPr>
            <w:r w:rsidRPr="005379F4">
              <w:rPr>
                <w:rFonts w:cs="Tahoma"/>
              </w:rPr>
              <w:t>MOEX TDF &lt;year of target date&gt; Index</w:t>
            </w:r>
          </w:p>
        </w:tc>
      </w:tr>
    </w:tbl>
    <w:p w14:paraId="47A165BE" w14:textId="14ECE19A" w:rsidR="00A65D01" w:rsidRPr="005379F4" w:rsidRDefault="00A65D01" w:rsidP="005379F4">
      <w:pPr>
        <w:pStyle w:val="30"/>
        <w:spacing w:before="120" w:after="120"/>
        <w:ind w:left="1560" w:hanging="709"/>
        <w:rPr>
          <w:rFonts w:cs="Tahoma"/>
        </w:rPr>
      </w:pPr>
      <w:r w:rsidRPr="005379F4">
        <w:rPr>
          <w:rFonts w:cs="Tahoma"/>
        </w:rP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02E80C5F" w14:textId="241FB20F" w:rsidR="00A65D01" w:rsidRPr="005379F4" w:rsidRDefault="00A65D01" w:rsidP="005379F4">
      <w:pPr>
        <w:pStyle w:val="30"/>
        <w:spacing w:before="120" w:after="120"/>
        <w:ind w:left="1560" w:hanging="709"/>
        <w:rPr>
          <w:rFonts w:cs="Tahoma"/>
        </w:rPr>
      </w:pPr>
      <w:r w:rsidRPr="005379F4">
        <w:rPr>
          <w:rFonts w:cs="Tahoma"/>
        </w:rPr>
        <w:t xml:space="preserve">This Methodology is adopted by the Exchange and takes effect on a day set by the Exchange. Amendments and supplements to the Methodology may not be made more frequently than once per quarter. </w:t>
      </w:r>
    </w:p>
    <w:p w14:paraId="1B2F4326" w14:textId="6D9D41AB" w:rsidR="00A65D01" w:rsidRPr="005379F4" w:rsidRDefault="00A65D01" w:rsidP="005379F4">
      <w:pPr>
        <w:pStyle w:val="30"/>
        <w:spacing w:before="120" w:after="120"/>
        <w:ind w:left="1560" w:hanging="709"/>
        <w:rPr>
          <w:rFonts w:cs="Tahoma"/>
        </w:rPr>
      </w:pPr>
      <w:r w:rsidRPr="005379F4">
        <w:rPr>
          <w:rFonts w:cs="Tahoma"/>
        </w:rPr>
        <w:t>The text of the Methodology as adopted is released at least three business days before taking effect.</w:t>
      </w:r>
    </w:p>
    <w:p w14:paraId="59EA8045" w14:textId="4D5E8B95" w:rsidR="00747A59" w:rsidRPr="005379F4" w:rsidRDefault="00747A59" w:rsidP="005379F4">
      <w:pPr>
        <w:pStyle w:val="30"/>
        <w:numPr>
          <w:ilvl w:val="0"/>
          <w:numId w:val="0"/>
        </w:numPr>
        <w:spacing w:before="120" w:after="120"/>
        <w:rPr>
          <w:rFonts w:cs="Tahoma"/>
        </w:rPr>
      </w:pPr>
    </w:p>
    <w:p w14:paraId="1447AC1D" w14:textId="5124358B" w:rsidR="00960720" w:rsidRPr="005379F4" w:rsidRDefault="009D567F" w:rsidP="005379F4">
      <w:pPr>
        <w:pStyle w:val="10"/>
        <w:spacing w:before="120" w:after="120"/>
        <w:ind w:firstLine="0"/>
        <w:rPr>
          <w:rFonts w:cs="Tahoma"/>
        </w:rPr>
      </w:pPr>
      <w:bookmarkStart w:id="20" w:name="_Toc424906484"/>
      <w:bookmarkStart w:id="21" w:name="_Toc424906555"/>
      <w:bookmarkStart w:id="22" w:name="_Toc424906587"/>
      <w:bookmarkStart w:id="23" w:name="_Toc424906631"/>
      <w:bookmarkStart w:id="24" w:name="_Toc424906675"/>
      <w:bookmarkStart w:id="25" w:name="_Toc424906713"/>
      <w:bookmarkStart w:id="26" w:name="_Toc424909130"/>
      <w:bookmarkStart w:id="27" w:name="_Toc425425252"/>
      <w:bookmarkStart w:id="28" w:name="_Toc424906485"/>
      <w:bookmarkStart w:id="29" w:name="_Toc424906556"/>
      <w:bookmarkStart w:id="30" w:name="_Toc424906588"/>
      <w:bookmarkStart w:id="31" w:name="_Toc424906632"/>
      <w:bookmarkStart w:id="32" w:name="_Toc424906676"/>
      <w:bookmarkStart w:id="33" w:name="_Toc424906714"/>
      <w:bookmarkStart w:id="34" w:name="_Toc424909131"/>
      <w:bookmarkStart w:id="35" w:name="_Toc425425253"/>
      <w:bookmarkStart w:id="36" w:name="_Toc19805118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5379F4">
        <w:rPr>
          <w:rFonts w:cs="Tahoma"/>
        </w:rPr>
        <w:t>Index Calculation</w:t>
      </w:r>
      <w:bookmarkEnd w:id="36"/>
    </w:p>
    <w:p w14:paraId="1CA28E3C" w14:textId="73E6268E" w:rsidR="009D567F" w:rsidRPr="005379F4" w:rsidRDefault="005379F4" w:rsidP="005379F4">
      <w:pPr>
        <w:pStyle w:val="a"/>
        <w:spacing w:before="120" w:after="120"/>
        <w:ind w:firstLine="0"/>
        <w:rPr>
          <w:rFonts w:cs="Tahoma"/>
        </w:rPr>
      </w:pPr>
      <w:bookmarkStart w:id="37" w:name="_Toc424291531"/>
      <w:bookmarkStart w:id="38" w:name="_Toc424641373"/>
      <w:bookmarkStart w:id="39" w:name="_Toc424811488"/>
      <w:bookmarkStart w:id="40" w:name="_Toc424291532"/>
      <w:bookmarkStart w:id="41" w:name="_Toc424641374"/>
      <w:bookmarkStart w:id="42" w:name="_Toc424811489"/>
      <w:bookmarkStart w:id="43" w:name="_Toc424291533"/>
      <w:bookmarkStart w:id="44" w:name="_Toc424641375"/>
      <w:bookmarkStart w:id="45" w:name="_Toc424811490"/>
      <w:bookmarkStart w:id="46" w:name="_Toc424641376"/>
      <w:bookmarkStart w:id="47" w:name="_Toc424811491"/>
      <w:bookmarkStart w:id="48" w:name="_Toc424291535"/>
      <w:bookmarkStart w:id="49" w:name="_Toc424641377"/>
      <w:bookmarkStart w:id="50" w:name="_Toc424811492"/>
      <w:bookmarkStart w:id="51" w:name="_Ref272311215"/>
      <w:bookmarkStart w:id="52" w:name="_Ref335645386"/>
      <w:bookmarkStart w:id="53" w:name="_Ref410391505"/>
      <w:bookmarkStart w:id="54" w:name="п_2_3"/>
      <w:bookmarkStart w:id="55" w:name="_Toc198051182"/>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379F4">
        <w:rPr>
          <w:rFonts w:cs="Tahoma"/>
        </w:rPr>
        <w:t>Index Calculation Method</w:t>
      </w:r>
      <w:bookmarkEnd w:id="55"/>
    </w:p>
    <w:bookmarkEnd w:id="51"/>
    <w:bookmarkEnd w:id="52"/>
    <w:bookmarkEnd w:id="53"/>
    <w:bookmarkEnd w:id="54"/>
    <w:p w14:paraId="23374208" w14:textId="4503E02A" w:rsidR="00657BF4" w:rsidRPr="005379F4" w:rsidRDefault="00657BF4" w:rsidP="005379F4">
      <w:pPr>
        <w:pStyle w:val="30"/>
        <w:spacing w:before="120" w:after="120"/>
        <w:ind w:left="1560" w:hanging="709"/>
        <w:rPr>
          <w:rStyle w:val="af9"/>
          <w:rFonts w:ascii="Tahoma" w:hAnsi="Tahoma" w:cs="Tahoma"/>
          <w:szCs w:val="24"/>
        </w:rPr>
      </w:pPr>
      <w:r w:rsidRPr="005379F4">
        <w:t>Index</w:t>
      </w:r>
      <w:r w:rsidRPr="005379F4">
        <w:rPr>
          <w:rStyle w:val="af9"/>
          <w:rFonts w:ascii="Tahoma" w:hAnsi="Tahoma" w:cs="Tahoma"/>
        </w:rPr>
        <w:t xml:space="preserve"> values are calculated using the following formula:</w:t>
      </w:r>
    </w:p>
    <w:p w14:paraId="3D16D475" w14:textId="069D786B" w:rsidR="00192811" w:rsidRPr="005379F4" w:rsidRDefault="005379F4" w:rsidP="005379F4">
      <w:pPr>
        <w:spacing w:before="120" w:after="120"/>
        <w:rPr>
          <w:rFonts w:cs="Tahoma"/>
        </w:rPr>
      </w:pPr>
      <m:oMathPara>
        <m:oMath>
          <m:sSub>
            <m:sSubPr>
              <m:ctrlPr>
                <w:rPr>
                  <w:rFonts w:ascii="Cambria Math" w:hAnsi="Cambria Math" w:cs="Tahoma"/>
                  <w:sz w:val="24"/>
                </w:rPr>
              </m:ctrlPr>
            </m:sSubPr>
            <m:e>
              <m:r>
                <w:rPr>
                  <w:rFonts w:ascii="Cambria Math" w:hAnsi="Cambria Math" w:cs="Tahoma"/>
                  <w:sz w:val="24"/>
                </w:rPr>
                <m:t>I</m:t>
              </m:r>
            </m:e>
            <m:sub>
              <m:r>
                <w:rPr>
                  <w:rFonts w:ascii="Cambria Math" w:hAnsi="Cambria Math" w:cs="Tahoma"/>
                  <w:sz w:val="24"/>
                </w:rPr>
                <m:t>n</m:t>
              </m:r>
            </m:sub>
          </m:sSub>
          <m:r>
            <m:rPr>
              <m:sty m:val="p"/>
            </m:rPr>
            <w:rPr>
              <w:rFonts w:ascii="Cambria Math" w:hAnsi="Cambria Math" w:cs="Tahoma"/>
              <w:sz w:val="24"/>
            </w:rPr>
            <m:t>=</m:t>
          </m:r>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e>
          </m:nary>
          <m:r>
            <m:rPr>
              <m:sty m:val="p"/>
            </m:rPr>
            <w:rPr>
              <w:rFonts w:ascii="Cambria Math" w:hAnsi="Cambria Math" w:cs="Tahoma"/>
              <w:sz w:val="24"/>
            </w:rPr>
            <m:t>∙</m:t>
          </m:r>
          <m:sSub>
            <m:sSubPr>
              <m:ctrlPr>
                <w:rPr>
                  <w:rFonts w:ascii="Cambria Math" w:hAnsi="Cambria Math" w:cs="Tahoma"/>
                </w:rPr>
              </m:ctrlPr>
            </m:sSubPr>
            <m:e>
              <m:r>
                <w:rPr>
                  <w:rFonts w:ascii="Cambria Math" w:hAnsi="Cambria Math" w:cs="Tahoma"/>
                </w:rPr>
                <m:t>K</m:t>
              </m:r>
            </m:e>
            <m:sub>
              <m:r>
                <w:rPr>
                  <w:rFonts w:ascii="Cambria Math" w:hAnsi="Cambria Math" w:cs="Tahoma"/>
                </w:rPr>
                <m:t>n</m:t>
              </m:r>
            </m:sub>
          </m:sSub>
        </m:oMath>
      </m:oMathPara>
    </w:p>
    <w:p w14:paraId="2FD33C7D" w14:textId="77777777" w:rsidR="00A9700C" w:rsidRPr="005379F4" w:rsidRDefault="00A9700C" w:rsidP="005379F4">
      <w:pPr>
        <w:pStyle w:val="afb"/>
        <w:spacing w:before="120"/>
        <w:rPr>
          <w:rFonts w:cs="Tahoma"/>
        </w:rPr>
      </w:pPr>
      <w:r w:rsidRPr="005379F4">
        <w:rPr>
          <w:rFonts w:cs="Tahoma"/>
        </w:rPr>
        <w:t>where:</w:t>
      </w:r>
    </w:p>
    <w:p w14:paraId="55C461C6" w14:textId="3CE91E8F" w:rsidR="00A9700C" w:rsidRPr="005379F4" w:rsidRDefault="00A9700C" w:rsidP="005379F4">
      <w:pPr>
        <w:pStyle w:val="afb"/>
        <w:spacing w:before="120"/>
        <w:rPr>
          <w:rFonts w:cs="Tahoma"/>
        </w:rPr>
      </w:pPr>
      <w:r w:rsidRPr="005379F4">
        <w:rPr>
          <w:rFonts w:cs="Tahoma"/>
        </w:rPr>
        <w:t>I</w:t>
      </w:r>
      <w:r w:rsidRPr="005379F4">
        <w:rPr>
          <w:rFonts w:cs="Tahoma"/>
          <w:vertAlign w:val="subscript"/>
        </w:rPr>
        <w:t>n</w:t>
      </w:r>
      <w:r w:rsidRPr="005379F4">
        <w:rPr>
          <w:rFonts w:cs="Tahoma"/>
        </w:rPr>
        <w:t xml:space="preserve"> </w:t>
      </w:r>
      <w:r w:rsidR="005379F4" w:rsidRPr="005379F4">
        <w:rPr>
          <w:rFonts w:cs="Tahoma"/>
        </w:rPr>
        <w:t>– value</w:t>
      </w:r>
      <w:r w:rsidRPr="005379F4">
        <w:rPr>
          <w:rFonts w:cs="Tahoma"/>
        </w:rPr>
        <w:t xml:space="preserve"> of the Index as of the n</w:t>
      </w:r>
      <w:r w:rsidRPr="005379F4">
        <w:rPr>
          <w:rFonts w:cs="Tahoma"/>
          <w:vertAlign w:val="superscript"/>
        </w:rPr>
        <w:t>th</w:t>
      </w:r>
      <w:r w:rsidRPr="005379F4">
        <w:rPr>
          <w:rFonts w:cs="Tahoma"/>
        </w:rPr>
        <w:t xml:space="preserve"> moment;</w:t>
      </w:r>
    </w:p>
    <w:p w14:paraId="6821864A" w14:textId="53A32971" w:rsidR="00192811" w:rsidRPr="005379F4" w:rsidRDefault="005379F4" w:rsidP="005379F4">
      <w:pPr>
        <w:pStyle w:val="afb"/>
        <w:spacing w:before="120"/>
        <w:rPr>
          <w:rFonts w:cs="Tahoma"/>
        </w:rPr>
      </w:pPr>
      <m:oMath>
        <m:sSubSup>
          <m:sSubSupPr>
            <m:ctrlPr>
              <w:rPr>
                <w:rFonts w:ascii="Cambria Math" w:hAnsi="Cambria Math" w:cs="Tahoma"/>
                <w:i/>
                <w:lang w:val="en-US"/>
              </w:rPr>
            </m:ctrlPr>
          </m:sSubSupPr>
          <m:e>
            <m:r>
              <w:rPr>
                <w:rFonts w:ascii="Cambria Math" w:hAnsi="Cambria Math" w:cs="Tahoma"/>
                <w:lang w:val="en-US"/>
              </w:rPr>
              <m:t>Sub</m:t>
            </m:r>
            <m:r>
              <w:rPr>
                <w:rFonts w:ascii="Cambria Math" w:hAnsi="Cambria Math" w:cs="Tahoma"/>
              </w:rPr>
              <m:t>_</m:t>
            </m:r>
            <m:r>
              <w:rPr>
                <w:rFonts w:ascii="Cambria Math" w:hAnsi="Cambria Math" w:cs="Tahoma"/>
                <w:lang w:val="en-US"/>
              </w:rPr>
              <m:t>I</m:t>
            </m:r>
          </m:e>
          <m:sub>
            <m:r>
              <w:rPr>
                <w:rFonts w:ascii="Cambria Math" w:hAnsi="Cambria Math" w:cs="Tahoma"/>
                <w:lang w:val="en-US"/>
              </w:rPr>
              <m:t>n</m:t>
            </m:r>
          </m:sub>
          <m:sup>
            <m:r>
              <w:rPr>
                <w:rFonts w:ascii="Cambria Math" w:hAnsi="Cambria Math" w:cs="Tahoma"/>
                <w:lang w:val="en-US"/>
              </w:rPr>
              <m:t>i</m:t>
            </m:r>
          </m:sup>
        </m:sSubSup>
      </m:oMath>
      <w:r w:rsidR="00A707C5" w:rsidRPr="005379F4">
        <w:rPr>
          <w:rFonts w:cs="Tahoma"/>
        </w:rPr>
        <w:t xml:space="preserve"> – the value of Subindex i, calculated on day n;</w:t>
      </w:r>
    </w:p>
    <w:p w14:paraId="4E49FE75" w14:textId="753B909C" w:rsidR="00571056" w:rsidRPr="005379F4" w:rsidRDefault="005379F4" w:rsidP="005379F4">
      <w:pPr>
        <w:pStyle w:val="afb"/>
        <w:spacing w:before="120"/>
        <w:rPr>
          <w:rFonts w:cs="Tahoma"/>
        </w:rPr>
      </w:pPr>
      <m:oMath>
        <m:sSubSup>
          <m:sSubSupPr>
            <m:ctrlPr>
              <w:rPr>
                <w:rFonts w:ascii="Cambria Math" w:hAnsi="Cambria Math" w:cs="Tahoma"/>
                <w:i/>
                <w:lang w:val="en-US"/>
              </w:rPr>
            </m:ctrlPr>
          </m:sSubSupPr>
          <m:e>
            <m:r>
              <w:rPr>
                <w:rFonts w:ascii="Cambria Math" w:hAnsi="Cambria Math" w:cs="Tahoma"/>
                <w:lang w:val="en-US"/>
              </w:rPr>
              <m:t>W</m:t>
            </m:r>
          </m:e>
          <m:sub>
            <m:r>
              <w:rPr>
                <w:rFonts w:ascii="Cambria Math" w:hAnsi="Cambria Math" w:cs="Tahoma"/>
                <w:lang w:val="en-US"/>
              </w:rPr>
              <m:t>n</m:t>
            </m:r>
            <m:r>
              <w:rPr>
                <w:rFonts w:ascii="Cambria Math" w:hAnsi="Cambria Math" w:cs="Tahoma"/>
              </w:rPr>
              <m:t>-</m:t>
            </m:r>
            <m:r>
              <w:rPr>
                <w:rFonts w:ascii="Cambria Math" w:hAnsi="Cambria Math" w:cs="Tahoma"/>
                <w:lang w:val="en-US"/>
              </w:rPr>
              <m:t>m</m:t>
            </m:r>
          </m:sub>
          <m:sup>
            <m:r>
              <w:rPr>
                <w:rFonts w:ascii="Cambria Math" w:hAnsi="Cambria Math" w:cs="Tahoma"/>
                <w:lang w:val="en-US"/>
              </w:rPr>
              <m:t>i</m:t>
            </m:r>
          </m:sup>
        </m:sSubSup>
      </m:oMath>
      <w:r w:rsidR="00A707C5" w:rsidRPr="005379F4">
        <w:rPr>
          <w:rFonts w:cs="Tahoma"/>
        </w:rPr>
        <w:t xml:space="preserve"> – the limiting coefficient of Subindex i, updated on day n-m, in accordance with the procedure stipulated in clause </w:t>
      </w:r>
      <w:r w:rsidR="00667871" w:rsidRPr="005379F4">
        <w:rPr>
          <w:rFonts w:cs="Tahoma"/>
        </w:rPr>
        <w:fldChar w:fldCharType="begin"/>
      </w:r>
      <w:r w:rsidR="00667871" w:rsidRPr="005379F4">
        <w:rPr>
          <w:rFonts w:cs="Tahoma"/>
        </w:rPr>
        <w:instrText xml:space="preserve"> REF _Ref482878825 \r \h </w:instrText>
      </w:r>
      <w:r w:rsidR="004F69A1" w:rsidRPr="005379F4">
        <w:rPr>
          <w:rFonts w:cs="Tahoma"/>
        </w:rPr>
        <w:instrText xml:space="preserve"> \* MERGEFORMAT </w:instrText>
      </w:r>
      <w:r w:rsidR="00667871" w:rsidRPr="005379F4">
        <w:rPr>
          <w:rFonts w:cs="Tahoma"/>
        </w:rPr>
      </w:r>
      <w:r w:rsidR="00667871" w:rsidRPr="005379F4">
        <w:rPr>
          <w:rFonts w:cs="Tahoma"/>
        </w:rPr>
        <w:fldChar w:fldCharType="separate"/>
      </w:r>
      <w:r w:rsidRPr="005379F4">
        <w:rPr>
          <w:rFonts w:cs="Tahoma"/>
        </w:rPr>
        <w:t>2.2</w:t>
      </w:r>
      <w:r w:rsidR="00667871" w:rsidRPr="005379F4">
        <w:rPr>
          <w:rFonts w:cs="Tahoma"/>
        </w:rPr>
        <w:fldChar w:fldCharType="end"/>
      </w:r>
      <w:r w:rsidR="00A707C5" w:rsidRPr="005379F4">
        <w:rPr>
          <w:rFonts w:cs="Tahoma"/>
        </w:rPr>
        <w:t xml:space="preserve"> of this Methodology;</w:t>
      </w:r>
    </w:p>
    <w:p w14:paraId="1A125433" w14:textId="0F30D3F1" w:rsidR="00811653" w:rsidRPr="005379F4" w:rsidRDefault="00811653" w:rsidP="005379F4">
      <w:pPr>
        <w:pStyle w:val="afb"/>
        <w:spacing w:before="120"/>
        <w:rPr>
          <w:rFonts w:cs="Tahoma"/>
        </w:rPr>
      </w:pPr>
      <w:proofErr w:type="spellStart"/>
      <w:r w:rsidRPr="005379F4">
        <w:rPr>
          <w:rFonts w:cs="Tahoma"/>
        </w:rPr>
        <w:t>K</w:t>
      </w:r>
      <w:r w:rsidRPr="005379F4">
        <w:rPr>
          <w:rFonts w:cs="Tahoma"/>
          <w:vertAlign w:val="subscript"/>
        </w:rPr>
        <w:t>n</w:t>
      </w:r>
      <w:proofErr w:type="spellEnd"/>
      <w:r w:rsidRPr="005379F4">
        <w:rPr>
          <w:rFonts w:cs="Tahoma"/>
        </w:rPr>
        <w:t xml:space="preserve"> – exchange rate at the nth moment of the calculation. It equals the Indicative Rate calculated by Moscow Exchange unless otherwise specified by the Exchange. For rouble-denominated Sub-Indices, the coefficient value is equal to 1.</w:t>
      </w:r>
    </w:p>
    <w:p w14:paraId="004A4E18" w14:textId="2D4F225C" w:rsidR="00967D00" w:rsidRPr="005379F4" w:rsidRDefault="00967D00" w:rsidP="005379F4">
      <w:pPr>
        <w:pStyle w:val="afb"/>
        <w:spacing w:before="120"/>
        <w:rPr>
          <w:rFonts w:cs="Tahoma"/>
        </w:rPr>
      </w:pPr>
      <w:r w:rsidRPr="005379F4">
        <w:rPr>
          <w:rFonts w:cs="Tahoma"/>
        </w:rPr>
        <w:t>N is the total number of Sub-Indices.</w:t>
      </w:r>
    </w:p>
    <w:p w14:paraId="6E281B91" w14:textId="77777777" w:rsidR="00657156" w:rsidRPr="005379F4" w:rsidRDefault="00657156" w:rsidP="005379F4">
      <w:pPr>
        <w:pStyle w:val="30"/>
        <w:spacing w:before="120" w:after="120"/>
        <w:ind w:left="1560" w:hanging="709"/>
        <w:rPr>
          <w:rStyle w:val="af9"/>
          <w:rFonts w:ascii="Tahoma" w:hAnsi="Tahoma" w:cs="Tahoma"/>
          <w:szCs w:val="24"/>
        </w:rPr>
      </w:pPr>
      <w:bookmarkStart w:id="56" w:name="_Ref335648511"/>
      <w:bookmarkStart w:id="57" w:name="_Ref332015395"/>
      <w:r w:rsidRPr="005379F4">
        <w:lastRenderedPageBreak/>
        <w:t>Indicators</w:t>
      </w:r>
      <w:r w:rsidRPr="005379F4">
        <w:rPr>
          <w:rStyle w:val="af9"/>
          <w:rFonts w:ascii="Tahoma" w:hAnsi="Tahoma" w:cs="Tahoma"/>
        </w:rPr>
        <w:t xml:space="preserve"> used as Sub-Indices are presented in Appendix 1 to this Methodology. </w:t>
      </w:r>
    </w:p>
    <w:bookmarkEnd w:id="56"/>
    <w:p w14:paraId="49E8AB3C" w14:textId="42D76AD4" w:rsidR="00051F6A" w:rsidRPr="005379F4" w:rsidRDefault="00A91DEC" w:rsidP="005379F4">
      <w:pPr>
        <w:pStyle w:val="30"/>
        <w:spacing w:before="120" w:after="120"/>
        <w:ind w:left="1560" w:hanging="709"/>
        <w:rPr>
          <w:rStyle w:val="af9"/>
          <w:rFonts w:ascii="Tahoma" w:hAnsi="Tahoma" w:cs="Tahoma"/>
          <w:szCs w:val="24"/>
        </w:rPr>
      </w:pPr>
      <w:r w:rsidRPr="005379F4">
        <w:rPr>
          <w:rStyle w:val="af9"/>
          <w:rFonts w:ascii="Tahoma" w:hAnsi="Tahoma" w:cs="Tahoma"/>
        </w:rPr>
        <w:t>The value of the Index as of the first calculation date: I1 = 1,000 as of 20 December 2024.</w:t>
      </w:r>
    </w:p>
    <w:p w14:paraId="5D2A21D4" w14:textId="395F6600" w:rsidR="00A84100" w:rsidRPr="005379F4" w:rsidRDefault="007653DC" w:rsidP="005379F4">
      <w:pPr>
        <w:pStyle w:val="30"/>
        <w:spacing w:before="120" w:after="120"/>
        <w:ind w:left="1560" w:hanging="709"/>
        <w:rPr>
          <w:rStyle w:val="af9"/>
          <w:rFonts w:ascii="Tahoma" w:hAnsi="Tahoma" w:cs="Tahoma"/>
          <w:szCs w:val="24"/>
        </w:rPr>
      </w:pPr>
      <w:r w:rsidRPr="005379F4">
        <w:rPr>
          <w:rStyle w:val="af9"/>
          <w:rFonts w:ascii="Tahoma" w:hAnsi="Tahoma" w:cs="Tahoma"/>
        </w:rPr>
        <w:t>The procedure for determining Target Dates for the Indices is set out in Appendix 2 of the Methodology.</w:t>
      </w:r>
    </w:p>
    <w:bookmarkEnd w:id="57"/>
    <w:p w14:paraId="7B294C80" w14:textId="32472DDC" w:rsidR="00B61B3D" w:rsidRPr="005379F4" w:rsidRDefault="003C6629" w:rsidP="005379F4">
      <w:pPr>
        <w:pStyle w:val="30"/>
        <w:spacing w:before="120" w:after="120"/>
        <w:ind w:left="1560" w:hanging="709"/>
        <w:rPr>
          <w:rFonts w:cs="Tahoma"/>
        </w:rPr>
      </w:pPr>
      <w:r w:rsidRPr="005379F4">
        <w:rPr>
          <w:rFonts w:cs="Tahoma"/>
        </w:rPr>
        <w:t>The Indices are expressed in points and rounded to two decimals.</w:t>
      </w:r>
    </w:p>
    <w:p w14:paraId="70E69272" w14:textId="77777777" w:rsidR="00354EE2" w:rsidRPr="005379F4" w:rsidRDefault="00354EE2" w:rsidP="005379F4">
      <w:pPr>
        <w:pStyle w:val="30"/>
        <w:numPr>
          <w:ilvl w:val="0"/>
          <w:numId w:val="0"/>
        </w:numPr>
        <w:spacing w:before="120" w:after="120"/>
        <w:ind w:left="1077"/>
        <w:rPr>
          <w:rFonts w:cs="Tahoma"/>
        </w:rPr>
      </w:pPr>
      <w:bookmarkStart w:id="58" w:name="_Toc424122354"/>
    </w:p>
    <w:p w14:paraId="588D1354" w14:textId="121786BA" w:rsidR="00354EE2" w:rsidRPr="005379F4" w:rsidRDefault="00354EE2" w:rsidP="005379F4">
      <w:pPr>
        <w:pStyle w:val="a"/>
        <w:spacing w:before="120" w:after="120"/>
        <w:ind w:firstLine="0"/>
        <w:rPr>
          <w:rFonts w:cs="Tahoma"/>
        </w:rPr>
      </w:pPr>
      <w:bookmarkStart w:id="59" w:name="_Ref482878825"/>
      <w:bookmarkStart w:id="60" w:name="_Toc488065472"/>
      <w:bookmarkStart w:id="61" w:name="_Toc198051183"/>
      <w:r w:rsidRPr="005379F4">
        <w:rPr>
          <w:rFonts w:cs="Tahoma"/>
        </w:rPr>
        <w:t>Calculating Limiting Coefficients</w:t>
      </w:r>
      <w:bookmarkEnd w:id="59"/>
      <w:bookmarkEnd w:id="60"/>
      <w:bookmarkEnd w:id="61"/>
    </w:p>
    <w:p w14:paraId="06A1B1A5" w14:textId="79674E4B" w:rsidR="00DB1F1B" w:rsidRPr="005379F4" w:rsidRDefault="00DB1F1B" w:rsidP="005379F4">
      <w:pPr>
        <w:pStyle w:val="30"/>
        <w:spacing w:before="120" w:after="120"/>
        <w:ind w:left="1560" w:hanging="709"/>
        <w:rPr>
          <w:rStyle w:val="af9"/>
          <w:rFonts w:ascii="Tahoma" w:hAnsi="Tahoma" w:cs="Tahoma"/>
          <w:szCs w:val="24"/>
        </w:rPr>
      </w:pPr>
      <w:bookmarkStart w:id="62" w:name="_Ref487538152"/>
      <w:bookmarkStart w:id="63" w:name="_Ref482878537"/>
      <w:r w:rsidRPr="005379F4">
        <w:rPr>
          <w:rStyle w:val="af9"/>
          <w:rFonts w:ascii="Tahoma" w:hAnsi="Tahoma" w:cs="Tahoma"/>
        </w:rPr>
        <w:t xml:space="preserve">The Weight of the </w:t>
      </w:r>
      <w:proofErr w:type="spellStart"/>
      <w:r w:rsidRPr="005379F4">
        <w:rPr>
          <w:rStyle w:val="af9"/>
          <w:rFonts w:ascii="Tahoma" w:hAnsi="Tahoma" w:cs="Tahoma"/>
        </w:rPr>
        <w:t>i</w:t>
      </w:r>
      <w:r w:rsidRPr="005379F4">
        <w:rPr>
          <w:rStyle w:val="af9"/>
          <w:rFonts w:ascii="Tahoma" w:hAnsi="Tahoma" w:cs="Tahoma"/>
          <w:vertAlign w:val="superscript"/>
        </w:rPr>
        <w:t>th</w:t>
      </w:r>
      <w:proofErr w:type="spellEnd"/>
      <w:r w:rsidRPr="005379F4">
        <w:rPr>
          <w:rStyle w:val="af9"/>
          <w:rFonts w:ascii="Tahoma" w:hAnsi="Tahoma" w:cs="Tahoma"/>
        </w:rPr>
        <w:t xml:space="preserve"> Sub-Index (</w:t>
      </w:r>
      <w:proofErr w:type="spellStart"/>
      <w:r w:rsidRPr="005379F4">
        <w:rPr>
          <w:rStyle w:val="af9"/>
          <w:rFonts w:ascii="Tahoma" w:hAnsi="Tahoma" w:cs="Tahoma"/>
        </w:rPr>
        <w:t>Wghti</w:t>
      </w:r>
      <w:proofErr w:type="spellEnd"/>
      <w:r w:rsidRPr="005379F4">
        <w:rPr>
          <w:rStyle w:val="af9"/>
          <w:rFonts w:ascii="Tahoma" w:hAnsi="Tahoma" w:cs="Tahoma"/>
        </w:rPr>
        <w:t>) is calculated using the following formula:</w:t>
      </w:r>
      <w:bookmarkEnd w:id="62"/>
    </w:p>
    <w:p w14:paraId="1B535843" w14:textId="18C525C2" w:rsidR="00DB1F1B" w:rsidRPr="005379F4" w:rsidRDefault="00DB1F1B" w:rsidP="005379F4">
      <w:pPr>
        <w:spacing w:before="120" w:after="120"/>
        <w:rPr>
          <w:rFonts w:cs="Tahoma"/>
          <w:sz w:val="24"/>
        </w:rPr>
      </w:pPr>
      <m:oMathPara>
        <m:oMath>
          <m:r>
            <w:rPr>
              <w:rFonts w:ascii="Cambria Math" w:hAnsi="Cambria Math" w:cs="Tahoma"/>
              <w:sz w:val="24"/>
            </w:rPr>
            <m:t>Wgh</m:t>
          </m:r>
          <m:sSub>
            <m:sSubPr>
              <m:ctrlPr>
                <w:rPr>
                  <w:rFonts w:ascii="Cambria Math" w:hAnsi="Cambria Math" w:cs="Tahoma"/>
                  <w:sz w:val="24"/>
                </w:rPr>
              </m:ctrlPr>
            </m:sSubPr>
            <m:e>
              <m:r>
                <w:rPr>
                  <w:rFonts w:ascii="Cambria Math" w:hAnsi="Cambria Math" w:cs="Tahoma"/>
                  <w:sz w:val="24"/>
                </w:rPr>
                <m:t>t</m:t>
              </m:r>
            </m:e>
            <m:sub>
              <m:r>
                <w:rPr>
                  <w:rFonts w:ascii="Cambria Math" w:hAnsi="Cambria Math" w:cs="Tahoma"/>
                  <w:sz w:val="24"/>
                </w:rPr>
                <m:t>i</m:t>
              </m:r>
            </m:sub>
          </m:sSub>
          <m:r>
            <m:rPr>
              <m:sty m:val="p"/>
            </m:rPr>
            <w:rPr>
              <w:rFonts w:ascii="Cambria Math" w:hAnsi="Cambria Math" w:cs="Tahoma"/>
              <w:sz w:val="24"/>
            </w:rPr>
            <m:t>=</m:t>
          </m:r>
          <m:f>
            <m:fPr>
              <m:ctrlPr>
                <w:rPr>
                  <w:rFonts w:ascii="Cambria Math" w:hAnsi="Cambria Math" w:cs="Tahoma"/>
                  <w:sz w:val="24"/>
                </w:rPr>
              </m:ctrlPr>
            </m:fPr>
            <m:num>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num>
            <m:den>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sub>
                    <m:sup>
                      <m:r>
                        <w:rPr>
                          <w:rFonts w:ascii="Cambria Math" w:hAnsi="Cambria Math" w:cs="Tahoma"/>
                          <w:sz w:val="24"/>
                        </w:rPr>
                        <m:t>i</m:t>
                      </m:r>
                    </m:sup>
                  </m:sSubSup>
                </m:e>
              </m:nary>
            </m:den>
          </m:f>
          <m:r>
            <m:rPr>
              <m:sty m:val="p"/>
            </m:rPr>
            <w:rPr>
              <w:rFonts w:ascii="Cambria Math" w:hAnsi="Cambria Math" w:cs="Tahoma"/>
              <w:sz w:val="24"/>
            </w:rPr>
            <m:t>∙100%.</m:t>
          </m:r>
        </m:oMath>
      </m:oMathPara>
    </w:p>
    <w:p w14:paraId="0700AD72" w14:textId="77777777" w:rsidR="00DB1F1B" w:rsidRPr="005379F4" w:rsidRDefault="00DB1F1B" w:rsidP="005379F4">
      <w:pPr>
        <w:pStyle w:val="30"/>
        <w:numPr>
          <w:ilvl w:val="0"/>
          <w:numId w:val="0"/>
        </w:numPr>
        <w:spacing w:before="120" w:after="120"/>
        <w:ind w:left="1077"/>
        <w:rPr>
          <w:rFonts w:cs="Tahoma"/>
        </w:rPr>
      </w:pPr>
    </w:p>
    <w:p w14:paraId="141FCFB1" w14:textId="2279491E" w:rsidR="00776B99" w:rsidRPr="005379F4" w:rsidRDefault="00354EE2" w:rsidP="005379F4">
      <w:pPr>
        <w:pStyle w:val="30"/>
        <w:spacing w:before="120" w:after="120"/>
        <w:ind w:left="1560" w:hanging="709"/>
        <w:rPr>
          <w:rStyle w:val="af9"/>
          <w:rFonts w:ascii="Tahoma" w:hAnsi="Tahoma" w:cs="Tahoma"/>
          <w:szCs w:val="24"/>
        </w:rPr>
      </w:pPr>
      <w:r w:rsidRPr="005379F4">
        <w:rPr>
          <w:rFonts w:cs="Tahoma"/>
        </w:rPr>
        <w:t xml:space="preserve">Limiting coefficients </w:t>
      </w:r>
      <m:oMath>
        <m:sSubSup>
          <m:sSubSupPr>
            <m:ctrlPr>
              <w:rPr>
                <w:rStyle w:val="af9"/>
                <w:rFonts w:ascii="Cambria Math" w:hAnsi="Cambria Math" w:cs="Tahoma"/>
                <w:szCs w:val="24"/>
              </w:rPr>
            </m:ctrlPr>
          </m:sSubSupPr>
          <m:e>
            <m:r>
              <w:rPr>
                <w:rStyle w:val="af9"/>
                <w:rFonts w:ascii="Cambria Math" w:hAnsi="Cambria Math" w:cs="Tahoma"/>
                <w:szCs w:val="24"/>
              </w:rPr>
              <m:t>W</m:t>
            </m:r>
          </m:e>
          <m:sub>
            <m:r>
              <w:rPr>
                <w:rStyle w:val="af9"/>
                <w:rFonts w:ascii="Cambria Math" w:hAnsi="Cambria Math" w:cs="Tahoma"/>
                <w:szCs w:val="24"/>
              </w:rPr>
              <m:t>n</m:t>
            </m:r>
            <m:r>
              <m:rPr>
                <m:sty m:val="p"/>
              </m:rPr>
              <w:rPr>
                <w:rStyle w:val="af9"/>
                <w:rFonts w:ascii="Cambria Math" w:hAnsi="Cambria Math" w:cs="Tahoma"/>
                <w:szCs w:val="24"/>
              </w:rPr>
              <m:t>-</m:t>
            </m:r>
            <m:r>
              <w:rPr>
                <w:rStyle w:val="af9"/>
                <w:rFonts w:ascii="Cambria Math" w:hAnsi="Cambria Math" w:cs="Tahoma"/>
                <w:szCs w:val="24"/>
              </w:rPr>
              <m:t>m</m:t>
            </m:r>
          </m:sub>
          <m:sup>
            <m:r>
              <w:rPr>
                <w:rStyle w:val="af9"/>
                <w:rFonts w:ascii="Cambria Math" w:hAnsi="Cambria Math" w:cs="Tahoma"/>
                <w:szCs w:val="24"/>
              </w:rPr>
              <m:t>i</m:t>
            </m:r>
          </m:sup>
        </m:sSubSup>
      </m:oMath>
      <w:r w:rsidRPr="005379F4">
        <w:rPr>
          <w:rFonts w:cs="Tahoma"/>
        </w:rPr>
        <w:t xml:space="preserve"> are used to maintain the ratio between the Sub-Indices. These coefficie</w:t>
      </w:r>
      <w:proofErr w:type="spellStart"/>
      <w:r w:rsidRPr="005379F4">
        <w:rPr>
          <w:rFonts w:cs="Tahoma"/>
        </w:rPr>
        <w:t>nts</w:t>
      </w:r>
      <w:proofErr w:type="spellEnd"/>
      <w:r w:rsidRPr="005379F4">
        <w:rPr>
          <w:rFonts w:cs="Tahoma"/>
        </w:rPr>
        <w:t xml:space="preserve"> are calculated in such a way that the Weight of a Sub-Index at the n-m limiting date is equal to the target Weight of the Sub-Index.</w:t>
      </w:r>
      <w:r w:rsidRPr="005379F4">
        <w:rPr>
          <w:rStyle w:val="af9"/>
          <w:rFonts w:ascii="Tahoma" w:hAnsi="Tahoma" w:cs="Tahoma"/>
        </w:rPr>
        <w:t xml:space="preserve"> The Exchange sets target weights within the ranges given in Appendix 3 to this Methodology.</w:t>
      </w:r>
    </w:p>
    <w:p w14:paraId="729A053C" w14:textId="131DC854" w:rsidR="00B2767D" w:rsidRPr="005379F4" w:rsidRDefault="002E1D87" w:rsidP="005379F4">
      <w:pPr>
        <w:pStyle w:val="30"/>
        <w:spacing w:before="120" w:after="120"/>
        <w:ind w:left="1560" w:hanging="709"/>
        <w:rPr>
          <w:rStyle w:val="af9"/>
          <w:rFonts w:ascii="Tahoma" w:hAnsi="Tahoma" w:cs="Tahoma"/>
          <w:szCs w:val="24"/>
        </w:rPr>
      </w:pPr>
      <w:r w:rsidRPr="005379F4">
        <w:rPr>
          <w:rStyle w:val="af9"/>
          <w:rFonts w:ascii="Tahoma" w:hAnsi="Tahoma" w:cs="Tahoma"/>
        </w:rPr>
        <w:t>The limiting coefficients are calculated using the following formula:</w:t>
      </w:r>
    </w:p>
    <w:p w14:paraId="3CA35F29" w14:textId="33682ED3" w:rsidR="002E1D87" w:rsidRPr="005379F4" w:rsidRDefault="005379F4" w:rsidP="005379F4">
      <w:pPr>
        <w:spacing w:before="120" w:after="120"/>
        <w:rPr>
          <w:rFonts w:cs="Tahoma"/>
          <w:sz w:val="24"/>
        </w:rPr>
      </w:pPr>
      <m:oMathPara>
        <m:oMath>
          <m:sSubSup>
            <m:sSubSupPr>
              <m:ctrlPr>
                <w:rPr>
                  <w:rFonts w:ascii="Cambria Math" w:hAnsi="Cambria Math" w:cs="Tahoma"/>
                  <w:sz w:val="24"/>
                </w:rPr>
              </m:ctrlPr>
            </m:sSubSupPr>
            <m:e>
              <m:r>
                <w:rPr>
                  <w:rFonts w:ascii="Cambria Math" w:hAnsi="Cambria Math" w:cs="Tahoma"/>
                  <w:sz w:val="24"/>
                </w:rPr>
                <m:t>W</m:t>
              </m:r>
            </m:e>
            <m:sub>
              <m:r>
                <m:rPr>
                  <m:sty m:val="p"/>
                </m:rPr>
                <w:rPr>
                  <w:rFonts w:ascii="Cambria Math" w:hAnsi="Cambria Math" w:cs="Tahoma"/>
                  <w:sz w:val="24"/>
                </w:rPr>
                <m:t>1</m:t>
              </m:r>
            </m:sub>
            <m:sup>
              <m:r>
                <w:rPr>
                  <w:rFonts w:ascii="Cambria Math" w:hAnsi="Cambria Math" w:cs="Tahoma"/>
                  <w:sz w:val="24"/>
                </w:rPr>
                <m:t>i</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C</m:t>
              </m:r>
            </m:e>
            <m:sub>
              <m:r>
                <m:rPr>
                  <m:sty m:val="p"/>
                </m:rPr>
                <w:rPr>
                  <w:rFonts w:ascii="Cambria Math" w:hAnsi="Cambria Math" w:cs="Tahoma"/>
                  <w:sz w:val="24"/>
                </w:rPr>
                <m:t>1</m:t>
              </m:r>
            </m:sub>
            <m:sup>
              <m:r>
                <w:rPr>
                  <w:rFonts w:ascii="Cambria Math" w:hAnsi="Cambria Math" w:cs="Tahoma"/>
                  <w:sz w:val="24"/>
                </w:rPr>
                <m:t>i</m:t>
              </m:r>
            </m:sup>
          </m:sSubSup>
          <m:f>
            <m:fPr>
              <m:ctrlPr>
                <w:rPr>
                  <w:rFonts w:ascii="Cambria Math" w:hAnsi="Cambria Math" w:cs="Tahoma"/>
                  <w:sz w:val="24"/>
                </w:rPr>
              </m:ctrlPr>
            </m:fPr>
            <m:num>
              <m:sSub>
                <m:sSubPr>
                  <m:ctrlPr>
                    <w:rPr>
                      <w:rFonts w:ascii="Cambria Math" w:hAnsi="Cambria Math" w:cs="Tahoma"/>
                      <w:sz w:val="24"/>
                    </w:rPr>
                  </m:ctrlPr>
                </m:sSubPr>
                <m:e>
                  <m:r>
                    <w:rPr>
                      <w:rFonts w:ascii="Cambria Math" w:hAnsi="Cambria Math" w:cs="Tahoma"/>
                      <w:sz w:val="24"/>
                    </w:rPr>
                    <m:t>I</m:t>
                  </m:r>
                </m:e>
                <m:sub>
                  <m:r>
                    <m:rPr>
                      <m:sty m:val="p"/>
                    </m:rPr>
                    <w:rPr>
                      <w:rFonts w:ascii="Cambria Math" w:hAnsi="Cambria Math" w:cs="Tahoma"/>
                      <w:sz w:val="24"/>
                    </w:rPr>
                    <m:t>1</m:t>
                  </m:r>
                </m:sub>
              </m:sSub>
            </m:num>
            <m:den>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m:rPr>
                      <m:sty m:val="p"/>
                    </m:rPr>
                    <w:rPr>
                      <w:rFonts w:ascii="Cambria Math" w:hAnsi="Cambria Math" w:cs="Tahoma"/>
                      <w:sz w:val="24"/>
                    </w:rPr>
                    <m:t>1</m:t>
                  </m:r>
                </m:sub>
                <m:sup>
                  <m:r>
                    <w:rPr>
                      <w:rFonts w:ascii="Cambria Math" w:hAnsi="Cambria Math" w:cs="Tahoma"/>
                      <w:sz w:val="24"/>
                    </w:rPr>
                    <m:t>i</m:t>
                  </m:r>
                </m:sup>
              </m:sSubSup>
            </m:den>
          </m:f>
          <m:r>
            <m:rPr>
              <m:sty m:val="p"/>
            </m:rPr>
            <w:rPr>
              <w:rFonts w:ascii="Cambria Math" w:hAnsi="Cambria Math" w:cs="Tahoma"/>
              <w:sz w:val="24"/>
            </w:rPr>
            <m:t xml:space="preserve"> </m:t>
          </m:r>
        </m:oMath>
      </m:oMathPara>
    </w:p>
    <w:p w14:paraId="363FFC8A" w14:textId="77777777" w:rsidR="002E1D87" w:rsidRPr="005379F4" w:rsidRDefault="002E1D87" w:rsidP="005379F4">
      <w:pPr>
        <w:spacing w:before="120" w:after="120"/>
        <w:rPr>
          <w:rFonts w:cs="Tahoma"/>
          <w:sz w:val="24"/>
        </w:rPr>
      </w:pPr>
    </w:p>
    <w:p w14:paraId="21507F50" w14:textId="60D6C4B1" w:rsidR="002E1D87" w:rsidRPr="005379F4" w:rsidRDefault="005379F4" w:rsidP="005379F4">
      <w:pPr>
        <w:spacing w:before="120" w:after="120"/>
        <w:rPr>
          <w:rFonts w:cs="Tahoma"/>
          <w:sz w:val="24"/>
        </w:rPr>
      </w:pPr>
      <m:oMathPara>
        <m:oMath>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r>
                <m:rPr>
                  <m:sty m:val="p"/>
                </m:rPr>
                <w:rPr>
                  <w:rFonts w:ascii="Cambria Math" w:hAnsi="Cambria Math" w:cs="Tahoma"/>
                  <w:sz w:val="24"/>
                </w:rPr>
                <m:t xml:space="preserve">, </m:t>
              </m:r>
              <m:r>
                <w:rPr>
                  <w:rFonts w:ascii="Cambria Math" w:hAnsi="Cambria Math" w:cs="Tahoma"/>
                  <w:sz w:val="24"/>
                </w:rPr>
                <m:t>new</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C</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f>
            <m:fPr>
              <m:ctrlPr>
                <w:rPr>
                  <w:rFonts w:ascii="Cambria Math" w:hAnsi="Cambria Math" w:cs="Tahoma"/>
                  <w:sz w:val="24"/>
                </w:rPr>
              </m:ctrlPr>
            </m:fPr>
            <m:num>
              <m:nary>
                <m:naryPr>
                  <m:chr m:val="∑"/>
                  <m:limLoc m:val="undOvr"/>
                  <m:ctrlPr>
                    <w:rPr>
                      <w:rFonts w:ascii="Cambria Math" w:hAnsi="Cambria Math" w:cs="Tahoma"/>
                      <w:sz w:val="24"/>
                    </w:rPr>
                  </m:ctrlPr>
                </m:naryPr>
                <m:sub>
                  <m:r>
                    <w:rPr>
                      <w:rFonts w:ascii="Cambria Math" w:hAnsi="Cambria Math" w:cs="Tahoma"/>
                      <w:sz w:val="24"/>
                    </w:rPr>
                    <m:t>i</m:t>
                  </m:r>
                  <m:r>
                    <m:rPr>
                      <m:sty m:val="p"/>
                    </m:rPr>
                    <w:rPr>
                      <w:rFonts w:ascii="Cambria Math" w:hAnsi="Cambria Math" w:cs="Tahoma"/>
                      <w:sz w:val="24"/>
                    </w:rPr>
                    <m:t>=1</m:t>
                  </m:r>
                </m:sub>
                <m:sup>
                  <m:r>
                    <w:rPr>
                      <w:rFonts w:ascii="Cambria Math" w:hAnsi="Cambria Math" w:cs="Tahoma"/>
                      <w:sz w:val="24"/>
                    </w:rPr>
                    <m:t>N</m:t>
                  </m:r>
                </m:sup>
                <m:e>
                  <m:sSubSup>
                    <m:sSubSupPr>
                      <m:ctrlPr>
                        <w:rPr>
                          <w:rFonts w:ascii="Cambria Math" w:hAnsi="Cambria Math" w:cs="Tahoma"/>
                          <w:sz w:val="24"/>
                        </w:rPr>
                      </m:ctrlPr>
                    </m:sSubSupPr>
                    <m:e>
                      <m:r>
                        <w:rPr>
                          <w:rFonts w:ascii="Cambria Math" w:hAnsi="Cambria Math" w:cs="Tahoma"/>
                          <w:sz w:val="24"/>
                        </w:rPr>
                        <m:t>W</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r>
                        <m:rPr>
                          <m:sty m:val="p"/>
                        </m:rPr>
                        <w:rPr>
                          <w:rFonts w:ascii="Cambria Math" w:hAnsi="Cambria Math" w:cs="Tahoma"/>
                          <w:sz w:val="24"/>
                        </w:rPr>
                        <m:t xml:space="preserve">, </m:t>
                      </m:r>
                      <m:r>
                        <w:rPr>
                          <w:rFonts w:ascii="Cambria Math" w:hAnsi="Cambria Math" w:cs="Tahoma"/>
                          <w:sz w:val="24"/>
                        </w:rPr>
                        <m:t>prev</m:t>
                      </m:r>
                    </m:sup>
                  </m:sSubSup>
                  <m:r>
                    <m:rPr>
                      <m:sty m:val="p"/>
                    </m:rPr>
                    <w:rPr>
                      <w:rFonts w:ascii="Cambria Math" w:hAnsi="Cambria Math" w:cs="Tahoma"/>
                      <w:sz w:val="24"/>
                    </w:rPr>
                    <m:t>∙</m:t>
                  </m:r>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r>
                        <w:rPr>
                          <w:rFonts w:ascii="Cambria Math" w:hAnsi="Cambria Math" w:cs="Tahoma"/>
                          <w:sz w:val="24"/>
                          <w:lang w:val="en-US"/>
                        </w:rPr>
                        <m:t>m</m:t>
                      </m:r>
                    </m:sub>
                    <m:sup>
                      <m:r>
                        <w:rPr>
                          <w:rFonts w:ascii="Cambria Math" w:hAnsi="Cambria Math" w:cs="Tahoma"/>
                          <w:sz w:val="24"/>
                        </w:rPr>
                        <m:t>i</m:t>
                      </m:r>
                    </m:sup>
                  </m:sSubSup>
                </m:e>
              </m:nary>
            </m:num>
            <m:den>
              <m:sSubSup>
                <m:sSubSupPr>
                  <m:ctrlPr>
                    <w:rPr>
                      <w:rFonts w:ascii="Cambria Math" w:hAnsi="Cambria Math" w:cs="Tahoma"/>
                      <w:sz w:val="24"/>
                    </w:rPr>
                  </m:ctrlPr>
                </m:sSubSupPr>
                <m:e>
                  <m:r>
                    <w:rPr>
                      <w:rFonts w:ascii="Cambria Math" w:hAnsi="Cambria Math" w:cs="Tahoma"/>
                      <w:sz w:val="24"/>
                    </w:rPr>
                    <m:t>Sub</m:t>
                  </m:r>
                  <m:r>
                    <m:rPr>
                      <m:sty m:val="p"/>
                    </m:rPr>
                    <w:rPr>
                      <w:rFonts w:ascii="Cambria Math" w:hAnsi="Cambria Math" w:cs="Tahoma"/>
                      <w:sz w:val="24"/>
                    </w:rPr>
                    <m:t>_</m:t>
                  </m:r>
                  <m:r>
                    <w:rPr>
                      <w:rFonts w:ascii="Cambria Math" w:hAnsi="Cambria Math" w:cs="Tahoma"/>
                      <w:sz w:val="24"/>
                    </w:rPr>
                    <m:t>I</m:t>
                  </m:r>
                </m:e>
                <m:sub>
                  <m:r>
                    <w:rPr>
                      <w:rFonts w:ascii="Cambria Math" w:hAnsi="Cambria Math" w:cs="Tahoma"/>
                      <w:sz w:val="24"/>
                    </w:rPr>
                    <m:t>n</m:t>
                  </m:r>
                  <m:r>
                    <m:rPr>
                      <m:sty m:val="p"/>
                    </m:rPr>
                    <w:rPr>
                      <w:rFonts w:ascii="Cambria Math" w:hAnsi="Cambria Math" w:cs="Tahoma"/>
                      <w:sz w:val="24"/>
                    </w:rPr>
                    <m:t>-</m:t>
                  </m:r>
                  <m:r>
                    <w:rPr>
                      <w:rFonts w:ascii="Cambria Math" w:hAnsi="Cambria Math" w:cs="Tahoma"/>
                      <w:sz w:val="24"/>
                    </w:rPr>
                    <m:t>m</m:t>
                  </m:r>
                </m:sub>
                <m:sup>
                  <m:r>
                    <w:rPr>
                      <w:rFonts w:ascii="Cambria Math" w:hAnsi="Cambria Math" w:cs="Tahoma"/>
                      <w:sz w:val="24"/>
                    </w:rPr>
                    <m:t>i</m:t>
                  </m:r>
                </m:sup>
              </m:sSubSup>
            </m:den>
          </m:f>
          <m:r>
            <m:rPr>
              <m:sty m:val="p"/>
            </m:rPr>
            <w:rPr>
              <w:rFonts w:ascii="Cambria Math" w:hAnsi="Cambria Math" w:cs="Tahoma"/>
              <w:sz w:val="24"/>
            </w:rPr>
            <m:t xml:space="preserve"> </m:t>
          </m:r>
        </m:oMath>
      </m:oMathPara>
    </w:p>
    <w:p w14:paraId="7DEC721B" w14:textId="77777777" w:rsidR="002E1D87" w:rsidRPr="005379F4" w:rsidRDefault="002E1D87" w:rsidP="005379F4">
      <w:pPr>
        <w:pStyle w:val="afb"/>
        <w:spacing w:before="120"/>
        <w:rPr>
          <w:rFonts w:cs="Tahoma"/>
        </w:rPr>
      </w:pPr>
    </w:p>
    <w:p w14:paraId="19398CCC" w14:textId="375FABA4" w:rsidR="002E1D87" w:rsidRPr="005379F4" w:rsidRDefault="00E56BD6" w:rsidP="005379F4">
      <w:pPr>
        <w:pStyle w:val="afb"/>
        <w:spacing w:before="120"/>
        <w:rPr>
          <w:rFonts w:cs="Tahoma"/>
        </w:rPr>
      </w:pPr>
      <w:r w:rsidRPr="005379F4">
        <w:rPr>
          <w:rFonts w:cs="Tahoma"/>
        </w:rPr>
        <w:t xml:space="preserve">Where </w:t>
      </w:r>
      <m:oMath>
        <m:sSubSup>
          <m:sSubSupPr>
            <m:ctrlPr>
              <w:rPr>
                <w:rFonts w:ascii="Cambria Math" w:hAnsi="Cambria Math" w:cs="Tahoma"/>
              </w:rPr>
            </m:ctrlPr>
          </m:sSubSupPr>
          <m:e>
            <m:r>
              <w:rPr>
                <w:rFonts w:ascii="Cambria Math" w:hAnsi="Cambria Math" w:cs="Tahoma"/>
              </w:rPr>
              <m:t>C</m:t>
            </m:r>
          </m:e>
          <m:sub>
            <m:r>
              <w:rPr>
                <w:rFonts w:ascii="Cambria Math" w:hAnsi="Cambria Math" w:cs="Tahoma"/>
              </w:rPr>
              <m:t>n-</m:t>
            </m:r>
            <m:r>
              <w:rPr>
                <w:rFonts w:ascii="Cambria Math" w:hAnsi="Cambria Math" w:cs="Tahoma"/>
                <w:lang w:val="en-US"/>
              </w:rPr>
              <m:t>m</m:t>
            </m:r>
          </m:sub>
          <m:sup>
            <m:r>
              <w:rPr>
                <w:rFonts w:ascii="Cambria Math" w:hAnsi="Cambria Math" w:cs="Tahoma"/>
              </w:rPr>
              <m:t>i</m:t>
            </m:r>
          </m:sup>
        </m:sSubSup>
      </m:oMath>
      <w:r w:rsidRPr="005379F4">
        <w:rPr>
          <w:rFonts w:cs="Tahoma"/>
        </w:rPr>
        <w:t xml:space="preserve"> is the target weight of the Sub-Index i, calculated on the limiting date n-m.</w:t>
      </w:r>
    </w:p>
    <w:p w14:paraId="52C0D8AE" w14:textId="0F18E86D" w:rsidR="001E0929" w:rsidRPr="005379F4" w:rsidRDefault="001E0929" w:rsidP="005379F4">
      <w:pPr>
        <w:pStyle w:val="30"/>
        <w:spacing w:before="120" w:after="120"/>
        <w:ind w:left="1560" w:hanging="709"/>
        <w:rPr>
          <w:rStyle w:val="af9"/>
          <w:rFonts w:ascii="Tahoma" w:hAnsi="Tahoma" w:cs="Tahoma"/>
          <w:szCs w:val="24"/>
        </w:rPr>
      </w:pPr>
      <w:bookmarkStart w:id="64" w:name="_Ref531085703"/>
      <w:r w:rsidRPr="005379F4">
        <w:rPr>
          <w:rStyle w:val="af9"/>
          <w:rFonts w:ascii="Tahoma" w:hAnsi="Tahoma" w:cs="Tahoma"/>
        </w:rPr>
        <w:t>The limiting coefficients are revised yearly on the basis of the results of the main trading session on the third Thursday of December. The Index is calculated using the revised coefficients from the following trading day.</w:t>
      </w:r>
    </w:p>
    <w:bookmarkEnd w:id="58"/>
    <w:bookmarkEnd w:id="63"/>
    <w:bookmarkEnd w:id="64"/>
    <w:p w14:paraId="3105E8BF" w14:textId="77777777" w:rsidR="00700330" w:rsidRPr="005379F4" w:rsidRDefault="00700330" w:rsidP="005379F4">
      <w:pPr>
        <w:spacing w:before="120" w:after="120"/>
        <w:rPr>
          <w:rFonts w:cs="Tahoma"/>
        </w:rPr>
      </w:pPr>
    </w:p>
    <w:p w14:paraId="0D5FC17B" w14:textId="2C23AE38" w:rsidR="00917D57" w:rsidRPr="005379F4" w:rsidRDefault="00917D57" w:rsidP="005379F4">
      <w:pPr>
        <w:pStyle w:val="10"/>
        <w:spacing w:before="120" w:after="120"/>
        <w:ind w:firstLine="0"/>
        <w:rPr>
          <w:rFonts w:cs="Tahoma"/>
        </w:rPr>
      </w:pPr>
      <w:bookmarkStart w:id="65" w:name="_Toc424906503"/>
      <w:bookmarkStart w:id="66" w:name="_Toc424906574"/>
      <w:bookmarkStart w:id="67" w:name="_Toc424906606"/>
      <w:bookmarkStart w:id="68" w:name="_Toc424906650"/>
      <w:bookmarkStart w:id="69" w:name="_Toc424906694"/>
      <w:bookmarkStart w:id="70" w:name="_Toc424906732"/>
      <w:bookmarkStart w:id="71" w:name="_Toc424909149"/>
      <w:bookmarkStart w:id="72" w:name="_Toc425425272"/>
      <w:bookmarkStart w:id="73" w:name="_Toc424122379"/>
      <w:bookmarkStart w:id="74" w:name="_Toc438206744"/>
      <w:bookmarkStart w:id="75" w:name="_Toc438206780"/>
      <w:bookmarkStart w:id="76" w:name="_Toc438207000"/>
      <w:bookmarkStart w:id="77" w:name="_Toc433902916"/>
      <w:bookmarkStart w:id="78" w:name="_Toc463443774"/>
      <w:bookmarkStart w:id="79" w:name="_Toc488065487"/>
      <w:bookmarkStart w:id="80" w:name="_Ref272826482"/>
      <w:bookmarkStart w:id="81" w:name="п_6_1"/>
      <w:bookmarkStart w:id="82" w:name="_Toc198051184"/>
      <w:bookmarkEnd w:id="65"/>
      <w:bookmarkEnd w:id="66"/>
      <w:bookmarkEnd w:id="67"/>
      <w:bookmarkEnd w:id="68"/>
      <w:bookmarkEnd w:id="69"/>
      <w:bookmarkEnd w:id="70"/>
      <w:bookmarkEnd w:id="71"/>
      <w:bookmarkEnd w:id="72"/>
      <w:r w:rsidRPr="005379F4">
        <w:rPr>
          <w:rFonts w:cs="Tahoma"/>
        </w:rPr>
        <w:t>Indices Calculation Frequency and Disclosure</w:t>
      </w:r>
      <w:bookmarkEnd w:id="82"/>
    </w:p>
    <w:p w14:paraId="2D8E4B3A" w14:textId="33BC22C7" w:rsidR="00917D57" w:rsidRPr="005379F4" w:rsidRDefault="00917D57" w:rsidP="005379F4">
      <w:pPr>
        <w:pStyle w:val="a"/>
        <w:tabs>
          <w:tab w:val="clear" w:pos="9344"/>
        </w:tabs>
        <w:spacing w:before="120" w:after="120"/>
        <w:ind w:left="680" w:firstLine="0"/>
        <w:rPr>
          <w:rFonts w:cs="Tahoma"/>
        </w:rPr>
      </w:pPr>
      <w:bookmarkStart w:id="83" w:name="_Toc65591910"/>
      <w:bookmarkStart w:id="84" w:name="_Toc198051185"/>
      <w:bookmarkEnd w:id="83"/>
      <w:r w:rsidRPr="005379F4">
        <w:rPr>
          <w:rFonts w:cs="Tahoma"/>
        </w:rPr>
        <w:t>Schedule of Calculation</w:t>
      </w:r>
      <w:bookmarkEnd w:id="84"/>
    </w:p>
    <w:p w14:paraId="46E8B03F" w14:textId="36AF47A5" w:rsidR="00917D57" w:rsidRPr="005379F4" w:rsidRDefault="00917D57" w:rsidP="005379F4">
      <w:pPr>
        <w:pStyle w:val="30"/>
        <w:spacing w:before="120" w:after="120"/>
        <w:ind w:left="1560" w:hanging="709"/>
        <w:rPr>
          <w:rStyle w:val="af9"/>
          <w:rFonts w:ascii="Tahoma" w:hAnsi="Tahoma" w:cs="Tahoma"/>
          <w:szCs w:val="24"/>
        </w:rPr>
      </w:pPr>
      <w:r w:rsidRPr="005379F4">
        <w:t>The</w:t>
      </w:r>
      <w:r w:rsidRPr="005379F4">
        <w:rPr>
          <w:rStyle w:val="af9"/>
          <w:rFonts w:ascii="Tahoma" w:hAnsi="Tahoma" w:cs="Tahoma"/>
        </w:rPr>
        <w:t xml:space="preserve"> Indices are </w:t>
      </w:r>
      <w:r w:rsidR="005379F4" w:rsidRPr="005379F4">
        <w:rPr>
          <w:rStyle w:val="af9"/>
          <w:rFonts w:ascii="Tahoma" w:hAnsi="Tahoma" w:cs="Tahoma"/>
        </w:rPr>
        <w:t>calculated once</w:t>
      </w:r>
      <w:r w:rsidRPr="005379F4">
        <w:rPr>
          <w:rStyle w:val="af9"/>
          <w:rFonts w:ascii="Tahoma" w:hAnsi="Tahoma" w:cs="Tahoma"/>
        </w:rPr>
        <w:t xml:space="preserve"> a day at the end of the main trading session. This single Index value for the day are simultaneously current values and closing values of corresponding Index until the next calculation of the Index on the next trading day. </w:t>
      </w:r>
    </w:p>
    <w:p w14:paraId="4EBF60AC" w14:textId="67A18470" w:rsidR="0036345D" w:rsidRPr="005379F4" w:rsidRDefault="0036345D" w:rsidP="005379F4">
      <w:pPr>
        <w:pStyle w:val="30"/>
        <w:spacing w:before="120" w:after="120"/>
        <w:ind w:left="1560" w:hanging="709"/>
        <w:rPr>
          <w:rStyle w:val="af9"/>
          <w:rFonts w:ascii="Tahoma" w:hAnsi="Tahoma" w:cs="Tahoma"/>
          <w:szCs w:val="24"/>
        </w:rPr>
      </w:pPr>
      <w:r w:rsidRPr="005379F4">
        <w:t>Unless</w:t>
      </w:r>
      <w:r w:rsidRPr="005379F4">
        <w:rPr>
          <w:rStyle w:val="af9"/>
          <w:rFonts w:ascii="Tahoma" w:hAnsi="Tahoma" w:cs="Tahoma"/>
        </w:rPr>
        <w:t xml:space="preserve"> otherwise stipulated by the Bank of Russia, the Exchange has the right to change the time of Index calculation. Information on the decisions taken by the Exchange pursuant to this Clause shall be made available to the trading members of the Exchange at least five business days before the date of entry into force of the respective changes, unless the Exchange sets a different deadline, by publishing the respective information.</w:t>
      </w:r>
    </w:p>
    <w:p w14:paraId="084E6E3B" w14:textId="77777777" w:rsidR="00917D57" w:rsidRPr="005379F4" w:rsidRDefault="00917D57" w:rsidP="005379F4">
      <w:pPr>
        <w:spacing w:before="120" w:after="120"/>
        <w:jc w:val="both"/>
        <w:rPr>
          <w:rFonts w:cs="Tahoma"/>
          <w:szCs w:val="20"/>
        </w:rPr>
      </w:pPr>
    </w:p>
    <w:p w14:paraId="43E777C5" w14:textId="686538AB" w:rsidR="00917D57" w:rsidRPr="005379F4" w:rsidRDefault="00917D57" w:rsidP="005379F4">
      <w:pPr>
        <w:pStyle w:val="a"/>
        <w:tabs>
          <w:tab w:val="clear" w:pos="9344"/>
        </w:tabs>
        <w:spacing w:before="120" w:after="120"/>
        <w:ind w:left="680" w:firstLine="0"/>
        <w:rPr>
          <w:rFonts w:cs="Tahoma"/>
        </w:rPr>
      </w:pPr>
      <w:bookmarkStart w:id="85" w:name="_Toc65591911"/>
      <w:bookmarkStart w:id="86" w:name="_Toc155794169"/>
      <w:bookmarkStart w:id="87" w:name="_Toc198051186"/>
      <w:r w:rsidRPr="005379F4">
        <w:rPr>
          <w:rFonts w:cs="Tahoma"/>
        </w:rPr>
        <w:t>Control Over Calculation of the Indices</w:t>
      </w:r>
      <w:bookmarkEnd w:id="85"/>
      <w:bookmarkEnd w:id="86"/>
      <w:bookmarkEnd w:id="87"/>
    </w:p>
    <w:p w14:paraId="2BBDE954" w14:textId="5EE23E86" w:rsidR="0036345D" w:rsidRPr="005379F4" w:rsidRDefault="0036345D" w:rsidP="005379F4">
      <w:pPr>
        <w:pStyle w:val="30"/>
        <w:spacing w:before="120" w:after="120"/>
        <w:ind w:left="1560" w:hanging="709"/>
        <w:rPr>
          <w:rFonts w:cs="Tahoma"/>
        </w:rPr>
      </w:pPr>
      <w:bookmarkStart w:id="88" w:name="_Toc351375304"/>
      <w:bookmarkStart w:id="89" w:name="_Toc424122382"/>
      <w:bookmarkStart w:id="90" w:name="_Toc438206747"/>
      <w:bookmarkStart w:id="91" w:name="_Toc438206783"/>
      <w:bookmarkStart w:id="92" w:name="_Toc438207003"/>
      <w:bookmarkStart w:id="93" w:name="_Toc433902919"/>
      <w:bookmarkStart w:id="94" w:name="_Toc463443777"/>
      <w:bookmarkStart w:id="95" w:name="_Toc488065490"/>
      <w:bookmarkStart w:id="96" w:name="_Toc17997677"/>
      <w:bookmarkEnd w:id="73"/>
      <w:bookmarkEnd w:id="74"/>
      <w:bookmarkEnd w:id="75"/>
      <w:bookmarkEnd w:id="76"/>
      <w:bookmarkEnd w:id="77"/>
      <w:bookmarkEnd w:id="78"/>
      <w:bookmarkEnd w:id="79"/>
      <w:bookmarkEnd w:id="80"/>
      <w:bookmarkEnd w:id="81"/>
      <w:r w:rsidRPr="005379F4">
        <w:rPr>
          <w:rFonts w:cs="Tahoma"/>
        </w:rPr>
        <w:t>Formation, calculation and review of the Indices and this Methodology is based on the total of management principles and rules described in the Moscow Exchange Index Management Policy.</w:t>
      </w:r>
    </w:p>
    <w:p w14:paraId="2FACF8A9" w14:textId="21019ACF" w:rsidR="0036345D" w:rsidRPr="005379F4" w:rsidRDefault="0036345D" w:rsidP="005379F4">
      <w:pPr>
        <w:pStyle w:val="30"/>
        <w:spacing w:before="120" w:after="120"/>
        <w:ind w:left="1560" w:hanging="709"/>
        <w:rPr>
          <w:rFonts w:cs="Tahoma"/>
        </w:rPr>
      </w:pPr>
      <w:r w:rsidRPr="005379F4">
        <w:rPr>
          <w:rFonts w:cs="Tahoma"/>
        </w:rPr>
        <w:t>In case of technical failure upon calculation of the Indices or technical failure in the course of securities trading on the Exchange, which resulted in distortion of data used for calculation of the Indices, recalculation of previously calculated index values is allowed. This recalculation shall be carried out within the shortest possible time from the moment of detection of the technical failure. Upon recalculation of the Indices, the Exchange posts the relevant announcement on its website.</w:t>
      </w:r>
    </w:p>
    <w:p w14:paraId="19CC2744" w14:textId="1CB5F447" w:rsidR="0036345D" w:rsidRPr="005379F4" w:rsidRDefault="0036345D" w:rsidP="005379F4">
      <w:pPr>
        <w:pStyle w:val="30"/>
        <w:spacing w:before="120" w:after="120"/>
        <w:ind w:left="1560" w:hanging="709"/>
        <w:rPr>
          <w:rFonts w:cs="Tahoma"/>
        </w:rPr>
      </w:pPr>
      <w:r w:rsidRPr="005379F4">
        <w:rPr>
          <w:rFonts w:cs="Tahoma"/>
        </w:rPr>
        <w:t xml:space="preserve">In case of circumstances that may adversely affect the adequacy of the Index to reflect the real condition of the Russian financial market, the Exchange is entitled to take any measures necessary to ensure the adequacy of the Index, including the exclusion of securities from the </w:t>
      </w:r>
      <w:proofErr w:type="spellStart"/>
      <w:r w:rsidRPr="005379F4">
        <w:rPr>
          <w:rFonts w:cs="Tahoma"/>
        </w:rPr>
        <w:t>the</w:t>
      </w:r>
      <w:proofErr w:type="spellEnd"/>
      <w:r w:rsidRPr="005379F4">
        <w:rPr>
          <w:rFonts w:cs="Tahoma"/>
        </w:rPr>
        <w:t xml:space="preserve"> Constituents of the Sub-Indices, setting the values of the parameters used to calculate the indices stipulated by this Methodology, etc.</w:t>
      </w:r>
    </w:p>
    <w:p w14:paraId="480B1433" w14:textId="77777777" w:rsidR="0036345D" w:rsidRPr="005379F4" w:rsidRDefault="0036345D" w:rsidP="005379F4">
      <w:pPr>
        <w:spacing w:before="120" w:after="120"/>
        <w:rPr>
          <w:rFonts w:cs="Tahoma"/>
        </w:rPr>
      </w:pPr>
    </w:p>
    <w:p w14:paraId="6C12C0B7" w14:textId="77777777" w:rsidR="0036345D" w:rsidRPr="005379F4" w:rsidRDefault="0036345D" w:rsidP="005379F4">
      <w:pPr>
        <w:pStyle w:val="a"/>
        <w:tabs>
          <w:tab w:val="clear" w:pos="9344"/>
        </w:tabs>
        <w:spacing w:before="120" w:after="120"/>
        <w:ind w:left="680" w:firstLine="0"/>
        <w:rPr>
          <w:rFonts w:cs="Tahoma"/>
        </w:rPr>
      </w:pPr>
      <w:bookmarkStart w:id="97" w:name="_Toc65591912"/>
      <w:bookmarkStart w:id="98" w:name="_Toc155794170"/>
      <w:bookmarkStart w:id="99" w:name="_Toc187845664"/>
      <w:bookmarkStart w:id="100" w:name="_Toc198051187"/>
      <w:bookmarkStart w:id="101" w:name="_GoBack"/>
      <w:bookmarkEnd w:id="101"/>
      <w:r w:rsidRPr="005379F4">
        <w:rPr>
          <w:rFonts w:cs="Tahoma"/>
        </w:rPr>
        <w:t>Publication</w:t>
      </w:r>
      <w:bookmarkEnd w:id="97"/>
      <w:bookmarkEnd w:id="98"/>
      <w:bookmarkEnd w:id="99"/>
      <w:bookmarkEnd w:id="100"/>
    </w:p>
    <w:p w14:paraId="267824AB" w14:textId="77777777" w:rsidR="0036345D" w:rsidRPr="005379F4" w:rsidRDefault="0036345D" w:rsidP="005379F4">
      <w:pPr>
        <w:pStyle w:val="30"/>
        <w:spacing w:before="120" w:after="120"/>
        <w:ind w:left="1560" w:hanging="709"/>
        <w:rPr>
          <w:rFonts w:cs="Tahoma"/>
        </w:rPr>
      </w:pPr>
      <w:r w:rsidRPr="005379F4">
        <w:rPr>
          <w:rFonts w:cs="Tahoma"/>
        </w:rPr>
        <w:t>Information provided for by the Methodology and regulations of the Bank of Russia is disclosed on the Exchange official website.</w:t>
      </w:r>
    </w:p>
    <w:p w14:paraId="6A237515" w14:textId="5A16E2B7" w:rsidR="0036345D" w:rsidRPr="005379F4" w:rsidRDefault="0036345D" w:rsidP="005379F4">
      <w:pPr>
        <w:pStyle w:val="30"/>
        <w:spacing w:before="120" w:after="120"/>
        <w:ind w:left="1560" w:hanging="709"/>
        <w:rPr>
          <w:rFonts w:cs="Tahoma"/>
        </w:rPr>
      </w:pPr>
      <w:r w:rsidRPr="005379F4">
        <w:rPr>
          <w:rFonts w:cs="Tahoma"/>
        </w:rPr>
        <w:lastRenderedPageBreak/>
        <w:t xml:space="preserve">In case of changes in factors used in calculation of the indices based on judgment (expert opinion), the Exchange discloses on the official website circumstances </w:t>
      </w:r>
      <w:proofErr w:type="gramStart"/>
      <w:r w:rsidRPr="005379F4">
        <w:rPr>
          <w:rFonts w:cs="Tahoma"/>
        </w:rPr>
        <w:t>taken into account</w:t>
      </w:r>
      <w:proofErr w:type="gramEnd"/>
      <w:r w:rsidRPr="005379F4">
        <w:rPr>
          <w:rFonts w:cs="Tahoma"/>
        </w:rPr>
        <w:t xml:space="preserve"> in changing these factors and justification of such changes not later than the day following the day of their change.</w:t>
      </w:r>
    </w:p>
    <w:p w14:paraId="6D4F92F9" w14:textId="3B506150" w:rsidR="0036345D" w:rsidRPr="005379F4" w:rsidRDefault="0036345D" w:rsidP="005379F4">
      <w:pPr>
        <w:pStyle w:val="30"/>
        <w:spacing w:before="120" w:after="120"/>
        <w:ind w:left="1560" w:hanging="709"/>
        <w:rPr>
          <w:rFonts w:cs="Tahoma"/>
        </w:rPr>
      </w:pPr>
      <w:r w:rsidRPr="005379F4">
        <w:rPr>
          <w:rFonts w:cs="Tahoma"/>
        </w:rPr>
        <w:t>The values of the Indices for the previous trading day are disclosed not later than 12:00 Moscow time.</w:t>
      </w:r>
    </w:p>
    <w:p w14:paraId="20C64D53" w14:textId="77777777" w:rsidR="0036345D" w:rsidRPr="005379F4" w:rsidRDefault="0036345D" w:rsidP="005379F4">
      <w:pPr>
        <w:pStyle w:val="30"/>
        <w:spacing w:before="120" w:after="120"/>
        <w:ind w:left="1560" w:hanging="709"/>
        <w:rPr>
          <w:rFonts w:cs="Tahoma"/>
        </w:rPr>
      </w:pPr>
      <w:r w:rsidRPr="005379F4">
        <w:rPr>
          <w:rFonts w:cs="Tahoma"/>
        </w:rPr>
        <w:t>Notices of changes in the Constituents of the Sub-Indices are published on the official website of the Exchange in accordance with the deadlines determined by the calculation methods of the relevant Sub-Indices.</w:t>
      </w:r>
    </w:p>
    <w:p w14:paraId="72912E29" w14:textId="204E784A" w:rsidR="0036345D" w:rsidRPr="005379F4" w:rsidRDefault="0036345D" w:rsidP="005379F4">
      <w:pPr>
        <w:pStyle w:val="30"/>
        <w:spacing w:before="120" w:after="120"/>
        <w:ind w:left="1560" w:hanging="709"/>
        <w:rPr>
          <w:rFonts w:cs="Tahoma"/>
        </w:rPr>
      </w:pPr>
      <w:r w:rsidRPr="005379F4">
        <w:rPr>
          <w:rFonts w:cs="Tahoma"/>
        </w:rPr>
        <w:t>This Methodology and Index values for the past year is available to any interested person on the Exchange official website.</w:t>
      </w:r>
    </w:p>
    <w:p w14:paraId="46A4BFE6" w14:textId="77777777" w:rsidR="0036345D" w:rsidRPr="005379F4" w:rsidRDefault="0036345D" w:rsidP="005379F4">
      <w:pPr>
        <w:pStyle w:val="30"/>
        <w:spacing w:before="120" w:after="120"/>
        <w:ind w:left="1560" w:hanging="709"/>
        <w:rPr>
          <w:rFonts w:cs="Tahoma"/>
        </w:rPr>
      </w:pPr>
      <w:r w:rsidRPr="005379F4">
        <w:rPr>
          <w:rFonts w:cs="Tahoma"/>
        </w:rPr>
        <w:t>Information subject to disclosure in accordance with this Methodology may be additionally disseminated by other means, including through information agencies disseminating MOEX market data.</w:t>
      </w:r>
    </w:p>
    <w:p w14:paraId="19D4E232" w14:textId="77777777" w:rsidR="0036345D" w:rsidRPr="005379F4" w:rsidRDefault="0036345D" w:rsidP="005379F4">
      <w:pPr>
        <w:pStyle w:val="10"/>
        <w:numPr>
          <w:ilvl w:val="0"/>
          <w:numId w:val="0"/>
        </w:numPr>
        <w:spacing w:before="120" w:after="120"/>
        <w:ind w:left="397"/>
        <w:jc w:val="right"/>
        <w:rPr>
          <w:rFonts w:cs="Tahoma"/>
        </w:rPr>
        <w:sectPr w:rsidR="0036345D" w:rsidRPr="005379F4" w:rsidSect="007867D6">
          <w:footerReference w:type="even" r:id="rId10"/>
          <w:footerReference w:type="default" r:id="rId11"/>
          <w:footerReference w:type="first" r:id="rId12"/>
          <w:pgSz w:w="11906" w:h="16838"/>
          <w:pgMar w:top="1077" w:right="1134" w:bottom="1077" w:left="1418" w:header="709" w:footer="709" w:gutter="0"/>
          <w:cols w:space="708"/>
          <w:titlePg/>
          <w:docGrid w:linePitch="360"/>
        </w:sectPr>
      </w:pPr>
    </w:p>
    <w:p w14:paraId="6DBD8AAB" w14:textId="3962AEB3" w:rsidR="009B0501" w:rsidRPr="005379F4" w:rsidRDefault="009B0501" w:rsidP="005379F4">
      <w:pPr>
        <w:pStyle w:val="10"/>
        <w:numPr>
          <w:ilvl w:val="0"/>
          <w:numId w:val="0"/>
        </w:numPr>
        <w:spacing w:before="120" w:after="120"/>
        <w:ind w:left="397"/>
        <w:jc w:val="right"/>
        <w:rPr>
          <w:rFonts w:cs="Tahoma"/>
        </w:rPr>
      </w:pPr>
      <w:bookmarkStart w:id="102" w:name="_Toc198051188"/>
      <w:r w:rsidRPr="005379F4">
        <w:rPr>
          <w:rFonts w:cs="Tahoma"/>
        </w:rPr>
        <w:lastRenderedPageBreak/>
        <w:t>Appendix 1</w:t>
      </w:r>
      <w:bookmarkEnd w:id="88"/>
      <w:bookmarkEnd w:id="89"/>
      <w:bookmarkEnd w:id="90"/>
      <w:bookmarkEnd w:id="91"/>
      <w:bookmarkEnd w:id="92"/>
      <w:bookmarkEnd w:id="93"/>
      <w:bookmarkEnd w:id="94"/>
      <w:bookmarkEnd w:id="95"/>
      <w:bookmarkEnd w:id="96"/>
      <w:bookmarkEnd w:id="102"/>
    </w:p>
    <w:p w14:paraId="3EBDA821" w14:textId="7185E74C" w:rsidR="009B0501" w:rsidRPr="005379F4" w:rsidRDefault="009B0501" w:rsidP="005379F4">
      <w:pPr>
        <w:tabs>
          <w:tab w:val="left" w:pos="993"/>
        </w:tabs>
        <w:spacing w:before="120" w:after="120"/>
        <w:ind w:left="992"/>
        <w:jc w:val="center"/>
        <w:rPr>
          <w:rFonts w:cs="Tahoma"/>
          <w:b/>
          <w:szCs w:val="20"/>
        </w:rPr>
      </w:pPr>
      <w:r w:rsidRPr="005379F4">
        <w:rPr>
          <w:rFonts w:cs="Tahoma"/>
          <w:b/>
        </w:rPr>
        <w:t>List of Sub-Indices</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5"/>
        <w:gridCol w:w="2112"/>
        <w:gridCol w:w="3051"/>
        <w:gridCol w:w="3607"/>
      </w:tblGrid>
      <w:tr w:rsidR="00FD4DE6" w:rsidRPr="005379F4" w14:paraId="1A5FC739" w14:textId="77777777" w:rsidTr="00FD4DE6">
        <w:trPr>
          <w:trHeight w:val="846"/>
          <w:tblHeader/>
          <w:jc w:val="center"/>
        </w:trPr>
        <w:tc>
          <w:tcPr>
            <w:tcW w:w="1285" w:type="dxa"/>
            <w:vAlign w:val="center"/>
          </w:tcPr>
          <w:p w14:paraId="509678E4" w14:textId="4577ACC8" w:rsidR="00FD4DE6" w:rsidRPr="005379F4" w:rsidRDefault="00FD4DE6" w:rsidP="005379F4">
            <w:pPr>
              <w:spacing w:before="120" w:after="120"/>
              <w:jc w:val="center"/>
              <w:rPr>
                <w:rFonts w:cs="Tahoma"/>
                <w:b/>
                <w:bCs/>
                <w:color w:val="000000"/>
                <w:szCs w:val="20"/>
              </w:rPr>
            </w:pPr>
            <w:r w:rsidRPr="005379F4">
              <w:rPr>
                <w:rFonts w:cs="Tahoma"/>
                <w:b/>
                <w:color w:val="000000"/>
              </w:rPr>
              <w:t>Sub-Index code</w:t>
            </w:r>
          </w:p>
        </w:tc>
        <w:tc>
          <w:tcPr>
            <w:tcW w:w="2112" w:type="dxa"/>
            <w:vAlign w:val="center"/>
          </w:tcPr>
          <w:p w14:paraId="2C2CDFB4" w14:textId="5AEFF8D2" w:rsidR="00FD4DE6" w:rsidRPr="005379F4" w:rsidRDefault="00FD4DE6" w:rsidP="005379F4">
            <w:pPr>
              <w:spacing w:before="120" w:after="120"/>
              <w:jc w:val="center"/>
              <w:rPr>
                <w:rFonts w:cs="Tahoma"/>
                <w:b/>
                <w:bCs/>
                <w:color w:val="000000"/>
                <w:szCs w:val="20"/>
              </w:rPr>
            </w:pPr>
            <w:r w:rsidRPr="005379F4">
              <w:rPr>
                <w:rFonts w:cs="Tahoma"/>
                <w:b/>
                <w:color w:val="000000"/>
              </w:rPr>
              <w:t>Sub-Index type</w:t>
            </w:r>
          </w:p>
        </w:tc>
        <w:tc>
          <w:tcPr>
            <w:tcW w:w="3051" w:type="dxa"/>
            <w:vAlign w:val="center"/>
          </w:tcPr>
          <w:p w14:paraId="37A8AD4D" w14:textId="432963FC" w:rsidR="00FD4DE6" w:rsidRPr="005379F4" w:rsidRDefault="00FD4DE6" w:rsidP="005379F4">
            <w:pPr>
              <w:spacing w:before="120" w:after="120"/>
              <w:jc w:val="center"/>
              <w:rPr>
                <w:rFonts w:cs="Tahoma"/>
                <w:b/>
                <w:bCs/>
                <w:color w:val="000000"/>
                <w:szCs w:val="20"/>
              </w:rPr>
            </w:pPr>
            <w:r w:rsidRPr="005379F4">
              <w:rPr>
                <w:rFonts w:cs="Tahoma"/>
                <w:b/>
                <w:color w:val="000000"/>
              </w:rPr>
              <w:t>Sub-Index name</w:t>
            </w:r>
          </w:p>
        </w:tc>
        <w:tc>
          <w:tcPr>
            <w:tcW w:w="3607" w:type="dxa"/>
            <w:vAlign w:val="center"/>
          </w:tcPr>
          <w:p w14:paraId="34D77C7A" w14:textId="0B305770" w:rsidR="00FD4DE6" w:rsidRPr="005379F4" w:rsidRDefault="00FD4DE6" w:rsidP="005379F4">
            <w:pPr>
              <w:spacing w:before="120" w:after="120"/>
              <w:jc w:val="center"/>
              <w:rPr>
                <w:rFonts w:cs="Tahoma"/>
                <w:b/>
                <w:bCs/>
                <w:color w:val="000000"/>
                <w:szCs w:val="20"/>
              </w:rPr>
            </w:pPr>
            <w:r w:rsidRPr="005379F4">
              <w:rPr>
                <w:rFonts w:cs="Tahoma"/>
                <w:b/>
                <w:color w:val="000000"/>
              </w:rPr>
              <w:t>Sub-Index calculation method</w:t>
            </w:r>
          </w:p>
        </w:tc>
      </w:tr>
      <w:tr w:rsidR="00FD4DE6" w:rsidRPr="005379F4" w14:paraId="5B1DE11E" w14:textId="77777777" w:rsidTr="00FD4DE6">
        <w:trPr>
          <w:trHeight w:val="40"/>
          <w:jc w:val="center"/>
        </w:trPr>
        <w:tc>
          <w:tcPr>
            <w:tcW w:w="1285" w:type="dxa"/>
            <w:vAlign w:val="center"/>
          </w:tcPr>
          <w:p w14:paraId="676A988A" w14:textId="2916D928" w:rsidR="00FD4DE6" w:rsidRPr="005379F4" w:rsidRDefault="00FD4DE6" w:rsidP="005379F4">
            <w:pPr>
              <w:spacing w:before="120" w:after="120"/>
              <w:rPr>
                <w:rFonts w:cs="Tahoma"/>
                <w:color w:val="000000"/>
                <w:szCs w:val="20"/>
              </w:rPr>
            </w:pPr>
            <w:r w:rsidRPr="005379F4">
              <w:rPr>
                <w:rFonts w:cs="Tahoma"/>
              </w:rPr>
              <w:t>MCFTR</w:t>
            </w:r>
          </w:p>
        </w:tc>
        <w:tc>
          <w:tcPr>
            <w:tcW w:w="2112" w:type="dxa"/>
            <w:vAlign w:val="center"/>
          </w:tcPr>
          <w:p w14:paraId="17AC56FF" w14:textId="7A036125" w:rsidR="00FD4DE6" w:rsidRPr="005379F4" w:rsidRDefault="00FD4DE6" w:rsidP="005379F4">
            <w:pPr>
              <w:spacing w:before="120" w:after="120"/>
              <w:rPr>
                <w:rFonts w:cs="Tahoma"/>
                <w:color w:val="000000"/>
                <w:szCs w:val="20"/>
              </w:rPr>
            </w:pPr>
            <w:r w:rsidRPr="005379F4">
              <w:rPr>
                <w:rFonts w:cs="Tahoma"/>
                <w:color w:val="000000"/>
              </w:rPr>
              <w:t>Equity Sub-Index</w:t>
            </w:r>
          </w:p>
        </w:tc>
        <w:tc>
          <w:tcPr>
            <w:tcW w:w="3051" w:type="dxa"/>
            <w:vAlign w:val="center"/>
          </w:tcPr>
          <w:p w14:paraId="7F6AE73B" w14:textId="7C3D61E7" w:rsidR="00FD4DE6" w:rsidRPr="005379F4" w:rsidRDefault="00FD4DE6" w:rsidP="005379F4">
            <w:pPr>
              <w:spacing w:before="120" w:after="120"/>
              <w:rPr>
                <w:rFonts w:cs="Tahoma"/>
                <w:color w:val="000000"/>
                <w:szCs w:val="20"/>
              </w:rPr>
            </w:pPr>
            <w:r w:rsidRPr="005379F4">
              <w:rPr>
                <w:rFonts w:cs="Tahoma"/>
                <w:color w:val="000000"/>
              </w:rPr>
              <w:t>MOEX Total Return Index (gross)</w:t>
            </w:r>
          </w:p>
        </w:tc>
        <w:tc>
          <w:tcPr>
            <w:tcW w:w="3607" w:type="dxa"/>
            <w:vAlign w:val="center"/>
          </w:tcPr>
          <w:p w14:paraId="29730BDD" w14:textId="09279C93" w:rsidR="00FD4DE6" w:rsidRPr="005379F4" w:rsidRDefault="00FD4DE6" w:rsidP="005379F4">
            <w:pPr>
              <w:spacing w:before="120" w:after="120"/>
              <w:rPr>
                <w:rFonts w:cs="Tahoma"/>
                <w:color w:val="000000"/>
                <w:szCs w:val="20"/>
              </w:rPr>
            </w:pPr>
            <w:r w:rsidRPr="005379F4">
              <w:rPr>
                <w:rFonts w:cs="Tahoma"/>
              </w:rPr>
              <w:t xml:space="preserve">Methodology of the Moscow Exchange Equity Indices Calculation </w:t>
            </w:r>
            <w:r w:rsidRPr="005379F4">
              <w:rPr>
                <w:rFonts w:cs="Tahoma"/>
                <w:color w:val="000000"/>
              </w:rPr>
              <w:t>(</w:t>
            </w:r>
            <w:hyperlink r:id="rId13" w:history="1">
              <w:r w:rsidRPr="005379F4">
                <w:rPr>
                  <w:rStyle w:val="aa"/>
                  <w:rFonts w:cs="Tahoma"/>
                </w:rPr>
                <w:t>https://fs.moex.com/files/3345</w:t>
              </w:r>
            </w:hyperlink>
            <w:r w:rsidRPr="005379F4">
              <w:rPr>
                <w:rFonts w:cs="Tahoma"/>
                <w:color w:val="000000"/>
              </w:rPr>
              <w:t>)</w:t>
            </w:r>
          </w:p>
        </w:tc>
      </w:tr>
      <w:tr w:rsidR="00FD4DE6" w:rsidRPr="005379F4" w14:paraId="05905F9A" w14:textId="77777777" w:rsidTr="00FD4DE6">
        <w:trPr>
          <w:trHeight w:val="19"/>
          <w:jc w:val="center"/>
        </w:trPr>
        <w:tc>
          <w:tcPr>
            <w:tcW w:w="1285" w:type="dxa"/>
            <w:vAlign w:val="center"/>
          </w:tcPr>
          <w:p w14:paraId="24522C4B" w14:textId="453D5D4F" w:rsidR="00FD4DE6" w:rsidRPr="005379F4" w:rsidRDefault="00FD4DE6" w:rsidP="005379F4">
            <w:pPr>
              <w:spacing w:before="120" w:after="120"/>
              <w:rPr>
                <w:rFonts w:cs="Tahoma"/>
                <w:color w:val="000000"/>
                <w:szCs w:val="20"/>
              </w:rPr>
            </w:pPr>
            <w:r w:rsidRPr="005379F4">
              <w:rPr>
                <w:rFonts w:cs="Tahoma"/>
              </w:rPr>
              <w:t>RUCBTRNS</w:t>
            </w:r>
          </w:p>
        </w:tc>
        <w:tc>
          <w:tcPr>
            <w:tcW w:w="2112" w:type="dxa"/>
            <w:vAlign w:val="center"/>
          </w:tcPr>
          <w:p w14:paraId="06DA750E" w14:textId="1E19EE8F" w:rsidR="00FD4DE6" w:rsidRPr="005379F4" w:rsidRDefault="00FD4DE6" w:rsidP="005379F4">
            <w:pPr>
              <w:spacing w:before="120" w:after="120"/>
              <w:rPr>
                <w:rFonts w:cs="Tahoma"/>
                <w:color w:val="000000"/>
                <w:szCs w:val="20"/>
              </w:rPr>
            </w:pPr>
            <w:r w:rsidRPr="005379F4">
              <w:rPr>
                <w:rFonts w:cs="Tahoma"/>
                <w:color w:val="000000"/>
              </w:rPr>
              <w:t>Corporate Bond Sub-Index</w:t>
            </w:r>
          </w:p>
        </w:tc>
        <w:tc>
          <w:tcPr>
            <w:tcW w:w="3051" w:type="dxa"/>
            <w:vAlign w:val="center"/>
          </w:tcPr>
          <w:p w14:paraId="7F79FE67" w14:textId="2BEB884D" w:rsidR="00FD4DE6" w:rsidRPr="005379F4" w:rsidRDefault="00FD4DE6" w:rsidP="005379F4">
            <w:pPr>
              <w:spacing w:before="120" w:after="120"/>
              <w:rPr>
                <w:rFonts w:cs="Tahoma"/>
                <w:color w:val="000000"/>
                <w:szCs w:val="20"/>
              </w:rPr>
            </w:pPr>
            <w:r w:rsidRPr="005379F4">
              <w:rPr>
                <w:rFonts w:cs="Tahoma"/>
                <w:color w:val="000000"/>
              </w:rPr>
              <w:t>MOEX Corporate Bond Index RUCBTRNS</w:t>
            </w:r>
          </w:p>
        </w:tc>
        <w:tc>
          <w:tcPr>
            <w:tcW w:w="3607" w:type="dxa"/>
            <w:vAlign w:val="center"/>
          </w:tcPr>
          <w:p w14:paraId="7CF05954" w14:textId="4FAE5618" w:rsidR="00FD4DE6" w:rsidRPr="005379F4" w:rsidRDefault="00FD4DE6" w:rsidP="005379F4">
            <w:pPr>
              <w:spacing w:before="120" w:after="120"/>
              <w:rPr>
                <w:rFonts w:cs="Tahoma"/>
                <w:color w:val="000000"/>
                <w:szCs w:val="20"/>
              </w:rPr>
            </w:pPr>
            <w:r w:rsidRPr="005379F4">
              <w:rPr>
                <w:rFonts w:cs="Tahoma"/>
                <w:color w:val="000000"/>
              </w:rPr>
              <w:t xml:space="preserve">Calculation Methodology for the MOEX Bond Indices </w:t>
            </w:r>
            <w:hyperlink r:id="rId14" w:history="1">
              <w:r w:rsidRPr="005379F4">
                <w:rPr>
                  <w:rStyle w:val="aa"/>
                  <w:rFonts w:cs="Tahoma"/>
                </w:rPr>
                <w:t>https://fs.moex.com/files/17108/49593</w:t>
              </w:r>
            </w:hyperlink>
          </w:p>
        </w:tc>
      </w:tr>
      <w:tr w:rsidR="00FD4DE6" w:rsidRPr="005379F4" w14:paraId="56A32DE3" w14:textId="77777777" w:rsidTr="00FD4DE6">
        <w:trPr>
          <w:trHeight w:val="19"/>
          <w:jc w:val="center"/>
        </w:trPr>
        <w:tc>
          <w:tcPr>
            <w:tcW w:w="1285" w:type="dxa"/>
            <w:vAlign w:val="center"/>
          </w:tcPr>
          <w:p w14:paraId="21D2B1F5" w14:textId="027016CF" w:rsidR="00FD4DE6" w:rsidRPr="005379F4" w:rsidRDefault="00FD4DE6" w:rsidP="005379F4">
            <w:pPr>
              <w:spacing w:before="120" w:after="120"/>
              <w:rPr>
                <w:rFonts w:cs="Tahoma"/>
                <w:color w:val="FF0000"/>
              </w:rPr>
            </w:pPr>
            <w:r w:rsidRPr="005379F4">
              <w:rPr>
                <w:rFonts w:cs="Tahoma"/>
              </w:rPr>
              <w:t>RGBITR</w:t>
            </w:r>
          </w:p>
        </w:tc>
        <w:tc>
          <w:tcPr>
            <w:tcW w:w="2112" w:type="dxa"/>
            <w:vAlign w:val="center"/>
          </w:tcPr>
          <w:p w14:paraId="2B01BF33" w14:textId="4C4A6AA3" w:rsidR="00FD4DE6" w:rsidRPr="005379F4" w:rsidRDefault="00FD4DE6" w:rsidP="005379F4">
            <w:pPr>
              <w:pStyle w:val="af6"/>
              <w:spacing w:before="120" w:after="120"/>
              <w:ind w:left="0"/>
              <w:rPr>
                <w:rFonts w:cs="Tahoma"/>
                <w:szCs w:val="20"/>
              </w:rPr>
            </w:pPr>
            <w:r w:rsidRPr="005379F4">
              <w:rPr>
                <w:rFonts w:cs="Tahoma"/>
              </w:rPr>
              <w:t>Government Bond Sub-Index</w:t>
            </w:r>
          </w:p>
        </w:tc>
        <w:tc>
          <w:tcPr>
            <w:tcW w:w="3051" w:type="dxa"/>
            <w:vAlign w:val="center"/>
          </w:tcPr>
          <w:p w14:paraId="7D10CE08" w14:textId="361F14F6" w:rsidR="00FD4DE6" w:rsidRPr="005379F4" w:rsidRDefault="00FD4DE6" w:rsidP="005379F4">
            <w:pPr>
              <w:pStyle w:val="af6"/>
              <w:spacing w:before="120" w:after="120"/>
              <w:ind w:left="0"/>
              <w:rPr>
                <w:rFonts w:cs="Tahoma"/>
                <w:szCs w:val="20"/>
              </w:rPr>
            </w:pPr>
            <w:r w:rsidRPr="005379F4">
              <w:rPr>
                <w:rFonts w:cs="Tahoma"/>
              </w:rPr>
              <w:t>MOEX Government Bond Index</w:t>
            </w:r>
          </w:p>
        </w:tc>
        <w:tc>
          <w:tcPr>
            <w:tcW w:w="3607" w:type="dxa"/>
            <w:vAlign w:val="center"/>
          </w:tcPr>
          <w:p w14:paraId="76229044" w14:textId="6E29B460" w:rsidR="00FD4DE6" w:rsidRPr="005379F4" w:rsidRDefault="00FD4DE6" w:rsidP="005379F4">
            <w:pPr>
              <w:spacing w:before="120" w:after="120"/>
              <w:rPr>
                <w:rFonts w:cs="Tahoma"/>
                <w:szCs w:val="20"/>
              </w:rPr>
            </w:pPr>
            <w:r w:rsidRPr="005379F4">
              <w:rPr>
                <w:rFonts w:cs="Tahoma"/>
                <w:color w:val="000000"/>
              </w:rPr>
              <w:t xml:space="preserve">Calculation Methodology for the MOEX Bond Indices </w:t>
            </w:r>
            <w:hyperlink r:id="rId15" w:history="1">
              <w:r w:rsidRPr="005379F4">
                <w:rPr>
                  <w:rStyle w:val="aa"/>
                  <w:rFonts w:cs="Tahoma"/>
                </w:rPr>
                <w:t>https://fs.moex.com/files/17108/49593</w:t>
              </w:r>
            </w:hyperlink>
          </w:p>
        </w:tc>
      </w:tr>
      <w:tr w:rsidR="00FD4DE6" w:rsidRPr="005379F4" w14:paraId="46C4DBE0" w14:textId="77777777" w:rsidTr="00FD4DE6">
        <w:trPr>
          <w:trHeight w:val="19"/>
          <w:jc w:val="center"/>
        </w:trPr>
        <w:tc>
          <w:tcPr>
            <w:tcW w:w="1285" w:type="dxa"/>
            <w:vAlign w:val="center"/>
          </w:tcPr>
          <w:p w14:paraId="5702C9A9" w14:textId="59FD0EC1" w:rsidR="00FD4DE6" w:rsidRPr="005379F4" w:rsidRDefault="0073051F" w:rsidP="005379F4">
            <w:pPr>
              <w:spacing w:before="120" w:after="120"/>
              <w:rPr>
                <w:rFonts w:eastAsia="Arial" w:cs="Tahoma"/>
                <w:color w:val="000000"/>
                <w:szCs w:val="20"/>
              </w:rPr>
            </w:pPr>
            <w:r w:rsidRPr="005379F4">
              <w:rPr>
                <w:rFonts w:cs="Tahoma"/>
              </w:rPr>
              <w:t>RUSFARIND</w:t>
            </w:r>
          </w:p>
        </w:tc>
        <w:tc>
          <w:tcPr>
            <w:tcW w:w="2112" w:type="dxa"/>
            <w:vAlign w:val="center"/>
          </w:tcPr>
          <w:p w14:paraId="370CA3E9" w14:textId="35FE4058" w:rsidR="00FD4DE6" w:rsidRPr="005379F4" w:rsidRDefault="00FD4DE6" w:rsidP="005379F4">
            <w:pPr>
              <w:pStyle w:val="af6"/>
              <w:spacing w:before="120" w:after="120"/>
              <w:ind w:left="0"/>
              <w:rPr>
                <w:rFonts w:cs="Tahoma"/>
                <w:color w:val="000000"/>
                <w:szCs w:val="20"/>
              </w:rPr>
            </w:pPr>
            <w:r w:rsidRPr="005379F4">
              <w:rPr>
                <w:rFonts w:cs="Tahoma"/>
                <w:color w:val="000000"/>
              </w:rPr>
              <w:t>Money Market Sub-Index</w:t>
            </w:r>
          </w:p>
        </w:tc>
        <w:tc>
          <w:tcPr>
            <w:tcW w:w="3051" w:type="dxa"/>
            <w:vAlign w:val="center"/>
          </w:tcPr>
          <w:p w14:paraId="20FF3DDA" w14:textId="751D2898" w:rsidR="00FD4DE6" w:rsidRPr="005379F4" w:rsidRDefault="00FD4DE6" w:rsidP="005379F4">
            <w:pPr>
              <w:pStyle w:val="af6"/>
              <w:spacing w:before="120" w:after="120"/>
              <w:ind w:left="0"/>
              <w:rPr>
                <w:rFonts w:cs="Tahoma"/>
                <w:color w:val="000000"/>
                <w:szCs w:val="20"/>
              </w:rPr>
            </w:pPr>
            <w:r w:rsidRPr="005379F4">
              <w:rPr>
                <w:rFonts w:cs="Tahoma"/>
                <w:color w:val="000000"/>
              </w:rPr>
              <w:t>MOEX RUSFAR Cumulative Return Index</w:t>
            </w:r>
          </w:p>
        </w:tc>
        <w:tc>
          <w:tcPr>
            <w:tcW w:w="3607" w:type="dxa"/>
            <w:vAlign w:val="center"/>
          </w:tcPr>
          <w:p w14:paraId="180CC32B" w14:textId="50F9C906" w:rsidR="00FD4DE6" w:rsidRPr="005379F4" w:rsidRDefault="00FD4DE6" w:rsidP="005379F4">
            <w:pPr>
              <w:spacing w:before="120" w:after="120"/>
              <w:rPr>
                <w:rFonts w:cs="Tahoma"/>
                <w:color w:val="000000"/>
                <w:szCs w:val="20"/>
              </w:rPr>
            </w:pPr>
            <w:r w:rsidRPr="005379F4">
              <w:rPr>
                <w:rFonts w:cs="Tahoma"/>
              </w:rPr>
              <w:t xml:space="preserve">MOEX RUSFAR Cumulative Return Indices Calculation Methodology </w:t>
            </w:r>
            <w:hyperlink r:id="rId16" w:history="1">
              <w:r w:rsidRPr="005379F4">
                <w:rPr>
                  <w:rStyle w:val="aa"/>
                  <w:rFonts w:cs="Tahoma"/>
                </w:rPr>
                <w:t>https://fs.moex.com/files/27104</w:t>
              </w:r>
            </w:hyperlink>
          </w:p>
        </w:tc>
      </w:tr>
    </w:tbl>
    <w:p w14:paraId="1C4D7AA4" w14:textId="77777777" w:rsidR="000E5B2D" w:rsidRPr="005379F4" w:rsidRDefault="000E5B2D" w:rsidP="005379F4">
      <w:pPr>
        <w:spacing w:before="120" w:after="120"/>
        <w:rPr>
          <w:rFonts w:cs="Tahoma"/>
        </w:rPr>
      </w:pPr>
    </w:p>
    <w:p w14:paraId="07DBC214" w14:textId="14B13C8E" w:rsidR="00FD4DE6" w:rsidRPr="005379F4" w:rsidRDefault="00FD4DE6" w:rsidP="005379F4">
      <w:pPr>
        <w:spacing w:before="120" w:after="120"/>
        <w:rPr>
          <w:rFonts w:cs="Tahoma"/>
        </w:rPr>
      </w:pPr>
    </w:p>
    <w:p w14:paraId="5E3A07F2" w14:textId="77777777" w:rsidR="00FD4DE6" w:rsidRPr="005379F4" w:rsidRDefault="00FD4DE6" w:rsidP="005379F4">
      <w:pPr>
        <w:spacing w:before="120" w:after="120"/>
        <w:rPr>
          <w:rFonts w:cs="Tahoma"/>
        </w:rPr>
      </w:pPr>
    </w:p>
    <w:p w14:paraId="11EE23A7" w14:textId="77777777" w:rsidR="00657156" w:rsidRPr="005379F4" w:rsidRDefault="00657156" w:rsidP="005379F4">
      <w:pPr>
        <w:pStyle w:val="10"/>
        <w:numPr>
          <w:ilvl w:val="0"/>
          <w:numId w:val="0"/>
        </w:numPr>
        <w:spacing w:before="120" w:after="120"/>
        <w:ind w:left="397"/>
        <w:jc w:val="right"/>
        <w:rPr>
          <w:rFonts w:cs="Tahoma"/>
        </w:rPr>
        <w:sectPr w:rsidR="00657156" w:rsidRPr="005379F4" w:rsidSect="007867D6">
          <w:pgSz w:w="11906" w:h="16838"/>
          <w:pgMar w:top="1077" w:right="1134" w:bottom="1077" w:left="1418" w:header="709" w:footer="709" w:gutter="0"/>
          <w:cols w:space="708"/>
          <w:titlePg/>
          <w:docGrid w:linePitch="360"/>
        </w:sectPr>
      </w:pPr>
    </w:p>
    <w:p w14:paraId="51A42047" w14:textId="6DCB0DB2" w:rsidR="00657156" w:rsidRPr="005379F4" w:rsidRDefault="00657156" w:rsidP="005379F4">
      <w:pPr>
        <w:pStyle w:val="10"/>
        <w:numPr>
          <w:ilvl w:val="0"/>
          <w:numId w:val="0"/>
        </w:numPr>
        <w:spacing w:before="120" w:after="120"/>
        <w:ind w:left="397"/>
        <w:jc w:val="right"/>
        <w:rPr>
          <w:rFonts w:cs="Tahoma"/>
        </w:rPr>
      </w:pPr>
      <w:bookmarkStart w:id="103" w:name="_Toc198051189"/>
      <w:r w:rsidRPr="005379F4">
        <w:rPr>
          <w:rFonts w:cs="Tahoma"/>
        </w:rPr>
        <w:lastRenderedPageBreak/>
        <w:t>Appendix 2</w:t>
      </w:r>
      <w:bookmarkEnd w:id="103"/>
    </w:p>
    <w:p w14:paraId="6DB525C7" w14:textId="3FA7C905" w:rsidR="00657156" w:rsidRPr="005379F4" w:rsidRDefault="00657156" w:rsidP="005379F4">
      <w:pPr>
        <w:tabs>
          <w:tab w:val="left" w:pos="993"/>
        </w:tabs>
        <w:spacing w:before="120" w:after="120"/>
        <w:ind w:left="992"/>
        <w:jc w:val="center"/>
        <w:rPr>
          <w:rFonts w:cs="Tahoma"/>
          <w:b/>
          <w:szCs w:val="20"/>
        </w:rPr>
      </w:pPr>
      <w:bookmarkStart w:id="104" w:name="_Hlk191285848"/>
      <w:bookmarkStart w:id="105" w:name="_Hlk191285814"/>
      <w:r w:rsidRPr="005379F4">
        <w:rPr>
          <w:rFonts w:cs="Tahoma"/>
          <w:b/>
        </w:rPr>
        <w:t>Computation of target dates</w:t>
      </w:r>
      <w:bookmarkEnd w:id="104"/>
    </w:p>
    <w:tbl>
      <w:tblPr>
        <w:tblStyle w:val="a8"/>
        <w:tblW w:w="7611" w:type="dxa"/>
        <w:jc w:val="center"/>
        <w:tblLook w:val="04A0" w:firstRow="1" w:lastRow="0" w:firstColumn="1" w:lastColumn="0" w:noHBand="0" w:noVBand="1"/>
      </w:tblPr>
      <w:tblGrid>
        <w:gridCol w:w="2076"/>
        <w:gridCol w:w="1306"/>
        <w:gridCol w:w="1342"/>
        <w:gridCol w:w="1342"/>
        <w:gridCol w:w="1545"/>
      </w:tblGrid>
      <w:tr w:rsidR="00C14DCD" w:rsidRPr="005379F4" w14:paraId="7CE668B2" w14:textId="77777777" w:rsidTr="00C14DCD">
        <w:trPr>
          <w:trHeight w:val="200"/>
          <w:jc w:val="center"/>
        </w:trPr>
        <w:tc>
          <w:tcPr>
            <w:tcW w:w="2076" w:type="dxa"/>
            <w:vAlign w:val="center"/>
          </w:tcPr>
          <w:p w14:paraId="0B4BE16B" w14:textId="529C9C2D" w:rsidR="00C14DCD" w:rsidRPr="005379F4" w:rsidRDefault="00C14DCD" w:rsidP="005379F4">
            <w:pPr>
              <w:tabs>
                <w:tab w:val="left" w:pos="1100"/>
              </w:tabs>
              <w:spacing w:before="120" w:after="120"/>
              <w:jc w:val="center"/>
              <w:rPr>
                <w:rFonts w:cs="Tahoma"/>
              </w:rPr>
            </w:pPr>
            <w:bookmarkStart w:id="106" w:name="_Hlk191285859"/>
            <w:r w:rsidRPr="005379F4">
              <w:rPr>
                <w:rFonts w:cs="Tahoma"/>
                <w:b/>
                <w:color w:val="000000"/>
              </w:rPr>
              <w:t>Year of first calculation of the index*</w:t>
            </w:r>
          </w:p>
        </w:tc>
        <w:tc>
          <w:tcPr>
            <w:tcW w:w="5535" w:type="dxa"/>
            <w:gridSpan w:val="4"/>
            <w:vAlign w:val="center"/>
          </w:tcPr>
          <w:p w14:paraId="7913851B" w14:textId="77777777" w:rsidR="00C14DCD" w:rsidRPr="005379F4" w:rsidRDefault="00C14DCD" w:rsidP="005379F4">
            <w:pPr>
              <w:tabs>
                <w:tab w:val="left" w:pos="1100"/>
              </w:tabs>
              <w:spacing w:before="120" w:after="120"/>
              <w:rPr>
                <w:rFonts w:cs="Tahoma"/>
              </w:rPr>
            </w:pPr>
            <w:r w:rsidRPr="005379F4">
              <w:rPr>
                <w:rFonts w:cs="Tahoma"/>
                <w:b/>
                <w:color w:val="000000"/>
              </w:rPr>
              <w:t>Computation of the target date year</w:t>
            </w:r>
          </w:p>
        </w:tc>
      </w:tr>
      <w:tr w:rsidR="00C14DCD" w:rsidRPr="005379F4" w14:paraId="10229FC8" w14:textId="77777777" w:rsidTr="00C14DCD">
        <w:trPr>
          <w:trHeight w:val="200"/>
          <w:jc w:val="center"/>
        </w:trPr>
        <w:tc>
          <w:tcPr>
            <w:tcW w:w="2076" w:type="dxa"/>
            <w:vAlign w:val="center"/>
          </w:tcPr>
          <w:p w14:paraId="2E4B79AA" w14:textId="1CCDB83C" w:rsidR="00C14DCD" w:rsidRPr="005379F4" w:rsidRDefault="00C32555" w:rsidP="005379F4">
            <w:pPr>
              <w:tabs>
                <w:tab w:val="left" w:pos="1100"/>
              </w:tabs>
              <w:spacing w:before="120" w:after="120"/>
              <w:jc w:val="center"/>
              <w:rPr>
                <w:rFonts w:cs="Tahoma"/>
              </w:rPr>
            </w:pPr>
            <w:r w:rsidRPr="005379F4">
              <w:rPr>
                <w:rFonts w:cs="Tahoma"/>
                <w:color w:val="000000"/>
              </w:rPr>
              <w:t>2025 (х)</w:t>
            </w:r>
          </w:p>
        </w:tc>
        <w:tc>
          <w:tcPr>
            <w:tcW w:w="1306" w:type="dxa"/>
            <w:vAlign w:val="center"/>
          </w:tcPr>
          <w:p w14:paraId="2087321F" w14:textId="1B219A35" w:rsidR="00C14DCD" w:rsidRPr="005379F4" w:rsidRDefault="00C32555" w:rsidP="005379F4">
            <w:pPr>
              <w:tabs>
                <w:tab w:val="left" w:pos="1100"/>
              </w:tabs>
              <w:spacing w:before="120" w:after="120"/>
              <w:jc w:val="center"/>
              <w:rPr>
                <w:rFonts w:cs="Tahoma"/>
              </w:rPr>
            </w:pPr>
            <w:r w:rsidRPr="005379F4">
              <w:rPr>
                <w:rFonts w:cs="Tahoma"/>
                <w:color w:val="000000"/>
              </w:rPr>
              <w:t>2030 (х+5)</w:t>
            </w:r>
          </w:p>
        </w:tc>
        <w:tc>
          <w:tcPr>
            <w:tcW w:w="1342" w:type="dxa"/>
            <w:vAlign w:val="center"/>
          </w:tcPr>
          <w:p w14:paraId="7D9A8E0C" w14:textId="7325B6DF" w:rsidR="00C14DCD" w:rsidRPr="005379F4" w:rsidRDefault="00C32555" w:rsidP="005379F4">
            <w:pPr>
              <w:tabs>
                <w:tab w:val="left" w:pos="1100"/>
              </w:tabs>
              <w:spacing w:before="120" w:after="120"/>
              <w:jc w:val="center"/>
              <w:rPr>
                <w:rFonts w:cs="Tahoma"/>
              </w:rPr>
            </w:pPr>
            <w:r w:rsidRPr="005379F4">
              <w:rPr>
                <w:rFonts w:cs="Tahoma"/>
                <w:color w:val="000000"/>
              </w:rPr>
              <w:t>2035 (х+10)</w:t>
            </w:r>
          </w:p>
        </w:tc>
        <w:tc>
          <w:tcPr>
            <w:tcW w:w="1342" w:type="dxa"/>
            <w:vAlign w:val="center"/>
          </w:tcPr>
          <w:p w14:paraId="2D486ACE" w14:textId="08E57E21" w:rsidR="00C14DCD" w:rsidRPr="005379F4" w:rsidRDefault="00C32555" w:rsidP="005379F4">
            <w:pPr>
              <w:tabs>
                <w:tab w:val="left" w:pos="1100"/>
              </w:tabs>
              <w:spacing w:before="120" w:after="120"/>
              <w:jc w:val="center"/>
              <w:rPr>
                <w:rFonts w:cs="Tahoma"/>
              </w:rPr>
            </w:pPr>
            <w:r w:rsidRPr="005379F4">
              <w:rPr>
                <w:rFonts w:cs="Tahoma"/>
                <w:color w:val="000000"/>
              </w:rPr>
              <w:t>2040 (х+15)</w:t>
            </w:r>
          </w:p>
        </w:tc>
        <w:tc>
          <w:tcPr>
            <w:tcW w:w="1543" w:type="dxa"/>
            <w:vAlign w:val="center"/>
          </w:tcPr>
          <w:p w14:paraId="4E3631D5" w14:textId="672467DE" w:rsidR="00C14DCD" w:rsidRPr="005379F4" w:rsidRDefault="00C32555" w:rsidP="005379F4">
            <w:pPr>
              <w:tabs>
                <w:tab w:val="left" w:pos="1100"/>
              </w:tabs>
              <w:spacing w:before="120" w:after="120"/>
              <w:jc w:val="center"/>
              <w:rPr>
                <w:rFonts w:cs="Tahoma"/>
              </w:rPr>
            </w:pPr>
            <w:r w:rsidRPr="005379F4">
              <w:rPr>
                <w:rFonts w:cs="Tahoma"/>
                <w:color w:val="000000"/>
              </w:rPr>
              <w:t>2045 (х+20)</w:t>
            </w:r>
          </w:p>
        </w:tc>
      </w:tr>
      <w:tr w:rsidR="00C14DCD" w:rsidRPr="005379F4" w14:paraId="72C4ABAB" w14:textId="77777777" w:rsidTr="00C14DCD">
        <w:trPr>
          <w:trHeight w:val="200"/>
          <w:jc w:val="center"/>
        </w:trPr>
        <w:tc>
          <w:tcPr>
            <w:tcW w:w="2076" w:type="dxa"/>
            <w:vAlign w:val="center"/>
          </w:tcPr>
          <w:p w14:paraId="1B58889C" w14:textId="77777777" w:rsidR="00C14DCD" w:rsidRPr="005379F4" w:rsidRDefault="00C14DCD" w:rsidP="005379F4">
            <w:pPr>
              <w:tabs>
                <w:tab w:val="left" w:pos="1100"/>
              </w:tabs>
              <w:spacing w:before="120" w:after="120"/>
              <w:jc w:val="center"/>
              <w:rPr>
                <w:rFonts w:cs="Tahoma"/>
              </w:rPr>
            </w:pPr>
            <w:r w:rsidRPr="005379F4">
              <w:rPr>
                <w:rFonts w:cs="Tahoma"/>
                <w:color w:val="000000"/>
              </w:rPr>
              <w:t>х+1</w:t>
            </w:r>
          </w:p>
        </w:tc>
        <w:tc>
          <w:tcPr>
            <w:tcW w:w="1306" w:type="dxa"/>
            <w:vAlign w:val="center"/>
          </w:tcPr>
          <w:p w14:paraId="2E7D910E" w14:textId="77777777" w:rsidR="00C14DCD" w:rsidRPr="005379F4" w:rsidRDefault="00C14DCD" w:rsidP="005379F4">
            <w:pPr>
              <w:tabs>
                <w:tab w:val="left" w:pos="1100"/>
              </w:tabs>
              <w:spacing w:before="120" w:after="120"/>
              <w:jc w:val="center"/>
              <w:rPr>
                <w:rFonts w:cs="Tahoma"/>
              </w:rPr>
            </w:pPr>
            <w:r w:rsidRPr="005379F4">
              <w:rPr>
                <w:rFonts w:cs="Tahoma"/>
                <w:color w:val="000000"/>
              </w:rPr>
              <w:t>х+6</w:t>
            </w:r>
          </w:p>
        </w:tc>
        <w:tc>
          <w:tcPr>
            <w:tcW w:w="1342" w:type="dxa"/>
            <w:vAlign w:val="center"/>
          </w:tcPr>
          <w:p w14:paraId="22328B66" w14:textId="77777777" w:rsidR="00C14DCD" w:rsidRPr="005379F4" w:rsidRDefault="00C14DCD" w:rsidP="005379F4">
            <w:pPr>
              <w:tabs>
                <w:tab w:val="left" w:pos="1100"/>
              </w:tabs>
              <w:spacing w:before="120" w:after="120"/>
              <w:jc w:val="center"/>
              <w:rPr>
                <w:rFonts w:cs="Tahoma"/>
              </w:rPr>
            </w:pPr>
            <w:r w:rsidRPr="005379F4">
              <w:rPr>
                <w:rFonts w:cs="Tahoma"/>
                <w:color w:val="000000"/>
              </w:rPr>
              <w:t>х+11</w:t>
            </w:r>
          </w:p>
        </w:tc>
        <w:tc>
          <w:tcPr>
            <w:tcW w:w="1342" w:type="dxa"/>
            <w:vAlign w:val="center"/>
          </w:tcPr>
          <w:p w14:paraId="081A7C35" w14:textId="77777777" w:rsidR="00C14DCD" w:rsidRPr="005379F4" w:rsidRDefault="00C14DCD" w:rsidP="005379F4">
            <w:pPr>
              <w:tabs>
                <w:tab w:val="left" w:pos="1100"/>
              </w:tabs>
              <w:spacing w:before="120" w:after="120"/>
              <w:jc w:val="center"/>
              <w:rPr>
                <w:rFonts w:cs="Tahoma"/>
              </w:rPr>
            </w:pPr>
            <w:r w:rsidRPr="005379F4">
              <w:rPr>
                <w:rFonts w:cs="Tahoma"/>
                <w:color w:val="000000"/>
              </w:rPr>
              <w:t>х+16</w:t>
            </w:r>
          </w:p>
        </w:tc>
        <w:tc>
          <w:tcPr>
            <w:tcW w:w="1543" w:type="dxa"/>
            <w:vAlign w:val="center"/>
          </w:tcPr>
          <w:p w14:paraId="7B1BC0E9" w14:textId="77777777" w:rsidR="00C14DCD" w:rsidRPr="005379F4" w:rsidRDefault="00C14DCD" w:rsidP="005379F4">
            <w:pPr>
              <w:tabs>
                <w:tab w:val="left" w:pos="1100"/>
              </w:tabs>
              <w:spacing w:before="120" w:after="120"/>
              <w:jc w:val="center"/>
              <w:rPr>
                <w:rFonts w:cs="Tahoma"/>
              </w:rPr>
            </w:pPr>
            <w:r w:rsidRPr="005379F4">
              <w:rPr>
                <w:rFonts w:cs="Tahoma"/>
                <w:color w:val="000000"/>
              </w:rPr>
              <w:t>х+20+1</w:t>
            </w:r>
          </w:p>
        </w:tc>
      </w:tr>
      <w:tr w:rsidR="00C14DCD" w:rsidRPr="005379F4" w14:paraId="3F32F685" w14:textId="77777777" w:rsidTr="00C14DCD">
        <w:trPr>
          <w:trHeight w:val="208"/>
          <w:jc w:val="center"/>
        </w:trPr>
        <w:tc>
          <w:tcPr>
            <w:tcW w:w="2076" w:type="dxa"/>
            <w:vAlign w:val="center"/>
          </w:tcPr>
          <w:p w14:paraId="7DFAB73A" w14:textId="77777777" w:rsidR="00C14DCD" w:rsidRPr="005379F4" w:rsidRDefault="00C14DCD" w:rsidP="005379F4">
            <w:pPr>
              <w:tabs>
                <w:tab w:val="left" w:pos="1100"/>
              </w:tabs>
              <w:spacing w:before="120" w:after="120"/>
              <w:jc w:val="center"/>
              <w:rPr>
                <w:rFonts w:cs="Tahoma"/>
              </w:rPr>
            </w:pPr>
            <w:r w:rsidRPr="005379F4">
              <w:rPr>
                <w:rFonts w:cs="Tahoma"/>
                <w:color w:val="000000"/>
              </w:rPr>
              <w:t>х+2</w:t>
            </w:r>
          </w:p>
        </w:tc>
        <w:tc>
          <w:tcPr>
            <w:tcW w:w="1306" w:type="dxa"/>
            <w:vAlign w:val="center"/>
          </w:tcPr>
          <w:p w14:paraId="165432DF" w14:textId="77777777" w:rsidR="00C14DCD" w:rsidRPr="005379F4" w:rsidRDefault="00C14DCD" w:rsidP="005379F4">
            <w:pPr>
              <w:tabs>
                <w:tab w:val="left" w:pos="1100"/>
              </w:tabs>
              <w:spacing w:before="120" w:after="120"/>
              <w:jc w:val="center"/>
              <w:rPr>
                <w:rFonts w:cs="Tahoma"/>
              </w:rPr>
            </w:pPr>
            <w:r w:rsidRPr="005379F4">
              <w:rPr>
                <w:rFonts w:cs="Tahoma"/>
                <w:color w:val="000000"/>
              </w:rPr>
              <w:t>х+7</w:t>
            </w:r>
          </w:p>
        </w:tc>
        <w:tc>
          <w:tcPr>
            <w:tcW w:w="1342" w:type="dxa"/>
            <w:vAlign w:val="center"/>
          </w:tcPr>
          <w:p w14:paraId="37303FCC" w14:textId="77777777" w:rsidR="00C14DCD" w:rsidRPr="005379F4" w:rsidRDefault="00C14DCD" w:rsidP="005379F4">
            <w:pPr>
              <w:tabs>
                <w:tab w:val="left" w:pos="1100"/>
              </w:tabs>
              <w:spacing w:before="120" w:after="120"/>
              <w:jc w:val="center"/>
              <w:rPr>
                <w:rFonts w:cs="Tahoma"/>
              </w:rPr>
            </w:pPr>
            <w:r w:rsidRPr="005379F4">
              <w:rPr>
                <w:rFonts w:cs="Tahoma"/>
                <w:color w:val="000000"/>
              </w:rPr>
              <w:t>х+12</w:t>
            </w:r>
          </w:p>
        </w:tc>
        <w:tc>
          <w:tcPr>
            <w:tcW w:w="1342" w:type="dxa"/>
            <w:vAlign w:val="center"/>
          </w:tcPr>
          <w:p w14:paraId="510C4415" w14:textId="77777777" w:rsidR="00C14DCD" w:rsidRPr="005379F4" w:rsidRDefault="00C14DCD" w:rsidP="005379F4">
            <w:pPr>
              <w:tabs>
                <w:tab w:val="left" w:pos="1100"/>
              </w:tabs>
              <w:spacing w:before="120" w:after="120"/>
              <w:jc w:val="center"/>
              <w:rPr>
                <w:rFonts w:cs="Tahoma"/>
              </w:rPr>
            </w:pPr>
            <w:r w:rsidRPr="005379F4">
              <w:rPr>
                <w:rFonts w:cs="Tahoma"/>
                <w:color w:val="000000"/>
              </w:rPr>
              <w:t>х+17</w:t>
            </w:r>
          </w:p>
        </w:tc>
        <w:tc>
          <w:tcPr>
            <w:tcW w:w="1543" w:type="dxa"/>
            <w:vAlign w:val="center"/>
          </w:tcPr>
          <w:p w14:paraId="5E9CC4B3" w14:textId="77777777" w:rsidR="00C14DCD" w:rsidRPr="005379F4" w:rsidRDefault="00C14DCD" w:rsidP="005379F4">
            <w:pPr>
              <w:tabs>
                <w:tab w:val="left" w:pos="1100"/>
              </w:tabs>
              <w:spacing w:before="120" w:after="120"/>
              <w:jc w:val="center"/>
              <w:rPr>
                <w:rFonts w:cs="Tahoma"/>
              </w:rPr>
            </w:pPr>
            <w:r w:rsidRPr="005379F4">
              <w:rPr>
                <w:rFonts w:cs="Tahoma"/>
                <w:color w:val="000000"/>
              </w:rPr>
              <w:t>х+20+2</w:t>
            </w:r>
          </w:p>
        </w:tc>
      </w:tr>
      <w:tr w:rsidR="00C14DCD" w:rsidRPr="005379F4" w14:paraId="5C424A90" w14:textId="77777777" w:rsidTr="00C14DCD">
        <w:trPr>
          <w:trHeight w:val="200"/>
          <w:jc w:val="center"/>
        </w:trPr>
        <w:tc>
          <w:tcPr>
            <w:tcW w:w="2076" w:type="dxa"/>
            <w:vAlign w:val="center"/>
          </w:tcPr>
          <w:p w14:paraId="212830F3" w14:textId="77777777" w:rsidR="00C14DCD" w:rsidRPr="005379F4" w:rsidRDefault="00C14DCD" w:rsidP="005379F4">
            <w:pPr>
              <w:tabs>
                <w:tab w:val="left" w:pos="1100"/>
              </w:tabs>
              <w:spacing w:before="120" w:after="120"/>
              <w:jc w:val="center"/>
              <w:rPr>
                <w:rFonts w:cs="Tahoma"/>
              </w:rPr>
            </w:pPr>
            <w:r w:rsidRPr="005379F4">
              <w:rPr>
                <w:rFonts w:cs="Tahoma"/>
                <w:color w:val="000000"/>
              </w:rPr>
              <w:t>х+3</w:t>
            </w:r>
          </w:p>
        </w:tc>
        <w:tc>
          <w:tcPr>
            <w:tcW w:w="1306" w:type="dxa"/>
            <w:vAlign w:val="center"/>
          </w:tcPr>
          <w:p w14:paraId="1DEA8B95" w14:textId="77777777" w:rsidR="00C14DCD" w:rsidRPr="005379F4" w:rsidRDefault="00C14DCD" w:rsidP="005379F4">
            <w:pPr>
              <w:tabs>
                <w:tab w:val="left" w:pos="1100"/>
              </w:tabs>
              <w:spacing w:before="120" w:after="120"/>
              <w:jc w:val="center"/>
              <w:rPr>
                <w:rFonts w:cs="Tahoma"/>
              </w:rPr>
            </w:pPr>
            <w:r w:rsidRPr="005379F4">
              <w:rPr>
                <w:rFonts w:cs="Tahoma"/>
                <w:color w:val="000000"/>
              </w:rPr>
              <w:t>х+8</w:t>
            </w:r>
          </w:p>
        </w:tc>
        <w:tc>
          <w:tcPr>
            <w:tcW w:w="1342" w:type="dxa"/>
            <w:vAlign w:val="center"/>
          </w:tcPr>
          <w:p w14:paraId="49F99A89" w14:textId="77777777" w:rsidR="00C14DCD" w:rsidRPr="005379F4" w:rsidRDefault="00C14DCD" w:rsidP="005379F4">
            <w:pPr>
              <w:tabs>
                <w:tab w:val="left" w:pos="1100"/>
              </w:tabs>
              <w:spacing w:before="120" w:after="120"/>
              <w:jc w:val="center"/>
              <w:rPr>
                <w:rFonts w:cs="Tahoma"/>
              </w:rPr>
            </w:pPr>
            <w:r w:rsidRPr="005379F4">
              <w:rPr>
                <w:rFonts w:cs="Tahoma"/>
                <w:color w:val="000000"/>
              </w:rPr>
              <w:t>х+13</w:t>
            </w:r>
          </w:p>
        </w:tc>
        <w:tc>
          <w:tcPr>
            <w:tcW w:w="1342" w:type="dxa"/>
            <w:vAlign w:val="center"/>
          </w:tcPr>
          <w:p w14:paraId="07AA5795" w14:textId="77777777" w:rsidR="00C14DCD" w:rsidRPr="005379F4" w:rsidRDefault="00C14DCD" w:rsidP="005379F4">
            <w:pPr>
              <w:tabs>
                <w:tab w:val="left" w:pos="1100"/>
              </w:tabs>
              <w:spacing w:before="120" w:after="120"/>
              <w:jc w:val="center"/>
              <w:rPr>
                <w:rFonts w:cs="Tahoma"/>
              </w:rPr>
            </w:pPr>
            <w:r w:rsidRPr="005379F4">
              <w:rPr>
                <w:rFonts w:cs="Tahoma"/>
                <w:color w:val="000000"/>
              </w:rPr>
              <w:t>х+18</w:t>
            </w:r>
          </w:p>
        </w:tc>
        <w:tc>
          <w:tcPr>
            <w:tcW w:w="1543" w:type="dxa"/>
            <w:vAlign w:val="center"/>
          </w:tcPr>
          <w:p w14:paraId="2CEEB27E" w14:textId="77777777" w:rsidR="00C14DCD" w:rsidRPr="005379F4" w:rsidRDefault="00C14DCD" w:rsidP="005379F4">
            <w:pPr>
              <w:tabs>
                <w:tab w:val="left" w:pos="1100"/>
              </w:tabs>
              <w:spacing w:before="120" w:after="120"/>
              <w:jc w:val="center"/>
              <w:rPr>
                <w:rFonts w:cs="Tahoma"/>
              </w:rPr>
            </w:pPr>
            <w:r w:rsidRPr="005379F4">
              <w:rPr>
                <w:rFonts w:cs="Tahoma"/>
                <w:color w:val="000000"/>
              </w:rPr>
              <w:t>х+20+3</w:t>
            </w:r>
          </w:p>
        </w:tc>
      </w:tr>
      <w:tr w:rsidR="00C14DCD" w:rsidRPr="005379F4" w14:paraId="77324C8F" w14:textId="77777777" w:rsidTr="00C14DCD">
        <w:trPr>
          <w:trHeight w:val="200"/>
          <w:jc w:val="center"/>
        </w:trPr>
        <w:tc>
          <w:tcPr>
            <w:tcW w:w="2076" w:type="dxa"/>
            <w:vAlign w:val="center"/>
          </w:tcPr>
          <w:p w14:paraId="76335864" w14:textId="77777777" w:rsidR="00C14DCD" w:rsidRPr="005379F4" w:rsidRDefault="00C14DCD" w:rsidP="005379F4">
            <w:pPr>
              <w:tabs>
                <w:tab w:val="left" w:pos="1100"/>
              </w:tabs>
              <w:spacing w:before="120" w:after="120"/>
              <w:jc w:val="center"/>
              <w:rPr>
                <w:rFonts w:cs="Tahoma"/>
              </w:rPr>
            </w:pPr>
            <w:r w:rsidRPr="005379F4">
              <w:rPr>
                <w:rFonts w:cs="Tahoma"/>
                <w:color w:val="000000"/>
              </w:rPr>
              <w:t>х+4</w:t>
            </w:r>
          </w:p>
        </w:tc>
        <w:tc>
          <w:tcPr>
            <w:tcW w:w="1306" w:type="dxa"/>
            <w:vAlign w:val="center"/>
          </w:tcPr>
          <w:p w14:paraId="2AD2EB9E" w14:textId="77777777" w:rsidR="00C14DCD" w:rsidRPr="005379F4" w:rsidRDefault="00C14DCD" w:rsidP="005379F4">
            <w:pPr>
              <w:tabs>
                <w:tab w:val="left" w:pos="1100"/>
              </w:tabs>
              <w:spacing w:before="120" w:after="120"/>
              <w:jc w:val="center"/>
              <w:rPr>
                <w:rFonts w:cs="Tahoma"/>
              </w:rPr>
            </w:pPr>
            <w:r w:rsidRPr="005379F4">
              <w:rPr>
                <w:rFonts w:cs="Tahoma"/>
                <w:color w:val="000000"/>
              </w:rPr>
              <w:t>х+9</w:t>
            </w:r>
          </w:p>
        </w:tc>
        <w:tc>
          <w:tcPr>
            <w:tcW w:w="1342" w:type="dxa"/>
            <w:vAlign w:val="center"/>
          </w:tcPr>
          <w:p w14:paraId="78A5C677" w14:textId="77777777" w:rsidR="00C14DCD" w:rsidRPr="005379F4" w:rsidRDefault="00C14DCD" w:rsidP="005379F4">
            <w:pPr>
              <w:tabs>
                <w:tab w:val="left" w:pos="1100"/>
              </w:tabs>
              <w:spacing w:before="120" w:after="120"/>
              <w:jc w:val="center"/>
              <w:rPr>
                <w:rFonts w:cs="Tahoma"/>
              </w:rPr>
            </w:pPr>
            <w:r w:rsidRPr="005379F4">
              <w:rPr>
                <w:rFonts w:cs="Tahoma"/>
                <w:color w:val="000000"/>
              </w:rPr>
              <w:t>х+14</w:t>
            </w:r>
          </w:p>
        </w:tc>
        <w:tc>
          <w:tcPr>
            <w:tcW w:w="1342" w:type="dxa"/>
            <w:vAlign w:val="center"/>
          </w:tcPr>
          <w:p w14:paraId="0ABBBAAB" w14:textId="77777777" w:rsidR="00C14DCD" w:rsidRPr="005379F4" w:rsidRDefault="00C14DCD" w:rsidP="005379F4">
            <w:pPr>
              <w:tabs>
                <w:tab w:val="left" w:pos="1100"/>
              </w:tabs>
              <w:spacing w:before="120" w:after="120"/>
              <w:jc w:val="center"/>
              <w:rPr>
                <w:rFonts w:cs="Tahoma"/>
              </w:rPr>
            </w:pPr>
            <w:r w:rsidRPr="005379F4">
              <w:rPr>
                <w:rFonts w:cs="Tahoma"/>
                <w:color w:val="000000"/>
              </w:rPr>
              <w:t>х+19</w:t>
            </w:r>
          </w:p>
        </w:tc>
        <w:tc>
          <w:tcPr>
            <w:tcW w:w="1543" w:type="dxa"/>
            <w:vAlign w:val="center"/>
          </w:tcPr>
          <w:p w14:paraId="5EF4FA47" w14:textId="77777777" w:rsidR="00C14DCD" w:rsidRPr="005379F4" w:rsidRDefault="00C14DCD" w:rsidP="005379F4">
            <w:pPr>
              <w:tabs>
                <w:tab w:val="left" w:pos="1100"/>
              </w:tabs>
              <w:spacing w:before="120" w:after="120"/>
              <w:jc w:val="center"/>
              <w:rPr>
                <w:rFonts w:cs="Tahoma"/>
              </w:rPr>
            </w:pPr>
            <w:r w:rsidRPr="005379F4">
              <w:rPr>
                <w:rFonts w:cs="Tahoma"/>
                <w:color w:val="000000"/>
              </w:rPr>
              <w:t>х+20+4</w:t>
            </w:r>
          </w:p>
        </w:tc>
      </w:tr>
      <w:tr w:rsidR="00C14DCD" w:rsidRPr="005379F4" w14:paraId="77E8801A" w14:textId="77777777" w:rsidTr="00C14DCD">
        <w:trPr>
          <w:trHeight w:val="200"/>
          <w:jc w:val="center"/>
        </w:trPr>
        <w:tc>
          <w:tcPr>
            <w:tcW w:w="2076" w:type="dxa"/>
            <w:vAlign w:val="center"/>
          </w:tcPr>
          <w:p w14:paraId="5FAFF0D3" w14:textId="77777777" w:rsidR="00C14DCD" w:rsidRPr="005379F4" w:rsidRDefault="00C14DCD" w:rsidP="005379F4">
            <w:pPr>
              <w:tabs>
                <w:tab w:val="left" w:pos="1100"/>
              </w:tabs>
              <w:spacing w:before="120" w:after="120"/>
              <w:jc w:val="center"/>
              <w:rPr>
                <w:rFonts w:cs="Tahoma"/>
              </w:rPr>
            </w:pPr>
            <w:r w:rsidRPr="005379F4">
              <w:rPr>
                <w:rFonts w:cs="Tahoma"/>
                <w:color w:val="000000"/>
              </w:rPr>
              <w:t>х+5</w:t>
            </w:r>
          </w:p>
        </w:tc>
        <w:tc>
          <w:tcPr>
            <w:tcW w:w="1306" w:type="dxa"/>
            <w:vAlign w:val="center"/>
          </w:tcPr>
          <w:p w14:paraId="7BB6B7A0"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2BAF6153"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02356BB9" w14:textId="77777777" w:rsidR="00C14DCD" w:rsidRPr="005379F4" w:rsidRDefault="00C14DCD" w:rsidP="005379F4">
            <w:pPr>
              <w:tabs>
                <w:tab w:val="left" w:pos="1100"/>
              </w:tabs>
              <w:spacing w:before="120" w:after="120"/>
              <w:jc w:val="center"/>
              <w:rPr>
                <w:rFonts w:cs="Tahoma"/>
              </w:rPr>
            </w:pPr>
          </w:p>
        </w:tc>
        <w:tc>
          <w:tcPr>
            <w:tcW w:w="1543" w:type="dxa"/>
            <w:vAlign w:val="center"/>
          </w:tcPr>
          <w:p w14:paraId="56723F05" w14:textId="77777777" w:rsidR="00C14DCD" w:rsidRPr="005379F4" w:rsidRDefault="00C14DCD" w:rsidP="005379F4">
            <w:pPr>
              <w:tabs>
                <w:tab w:val="left" w:pos="1100"/>
              </w:tabs>
              <w:spacing w:before="120" w:after="120"/>
              <w:jc w:val="center"/>
              <w:rPr>
                <w:rFonts w:cs="Tahoma"/>
              </w:rPr>
            </w:pPr>
            <w:r w:rsidRPr="005379F4">
              <w:rPr>
                <w:rFonts w:cs="Tahoma"/>
                <w:color w:val="000000"/>
              </w:rPr>
              <w:t>х+20+5</w:t>
            </w:r>
          </w:p>
        </w:tc>
      </w:tr>
      <w:tr w:rsidR="00C14DCD" w:rsidRPr="005379F4" w14:paraId="61154F67" w14:textId="77777777" w:rsidTr="00C14DCD">
        <w:trPr>
          <w:trHeight w:val="200"/>
          <w:jc w:val="center"/>
        </w:trPr>
        <w:tc>
          <w:tcPr>
            <w:tcW w:w="2076" w:type="dxa"/>
            <w:vAlign w:val="center"/>
          </w:tcPr>
          <w:p w14:paraId="2D875BC2" w14:textId="77777777" w:rsidR="00C14DCD" w:rsidRPr="005379F4" w:rsidRDefault="00C14DCD" w:rsidP="005379F4">
            <w:pPr>
              <w:tabs>
                <w:tab w:val="left" w:pos="1100"/>
              </w:tabs>
              <w:spacing w:before="120" w:after="120"/>
              <w:jc w:val="center"/>
              <w:rPr>
                <w:rFonts w:cs="Tahoma"/>
              </w:rPr>
            </w:pPr>
            <w:r w:rsidRPr="005379F4">
              <w:rPr>
                <w:rFonts w:cs="Tahoma"/>
                <w:color w:val="000000"/>
              </w:rPr>
              <w:t>х+6</w:t>
            </w:r>
          </w:p>
        </w:tc>
        <w:tc>
          <w:tcPr>
            <w:tcW w:w="1306" w:type="dxa"/>
            <w:vAlign w:val="center"/>
          </w:tcPr>
          <w:p w14:paraId="3CD7F41F"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43BD3083"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4BFAF6F8" w14:textId="77777777" w:rsidR="00C14DCD" w:rsidRPr="005379F4" w:rsidRDefault="00C14DCD" w:rsidP="005379F4">
            <w:pPr>
              <w:tabs>
                <w:tab w:val="left" w:pos="1100"/>
              </w:tabs>
              <w:spacing w:before="120" w:after="120"/>
              <w:jc w:val="center"/>
              <w:rPr>
                <w:rFonts w:cs="Tahoma"/>
              </w:rPr>
            </w:pPr>
          </w:p>
        </w:tc>
        <w:tc>
          <w:tcPr>
            <w:tcW w:w="1543" w:type="dxa"/>
            <w:vAlign w:val="center"/>
          </w:tcPr>
          <w:p w14:paraId="75E158B7" w14:textId="77777777" w:rsidR="00C14DCD" w:rsidRPr="005379F4" w:rsidRDefault="00C14DCD" w:rsidP="005379F4">
            <w:pPr>
              <w:tabs>
                <w:tab w:val="left" w:pos="1100"/>
              </w:tabs>
              <w:spacing w:before="120" w:after="120"/>
              <w:jc w:val="center"/>
              <w:rPr>
                <w:rFonts w:cs="Tahoma"/>
              </w:rPr>
            </w:pPr>
            <w:r w:rsidRPr="005379F4">
              <w:rPr>
                <w:rFonts w:cs="Tahoma"/>
                <w:color w:val="000000"/>
              </w:rPr>
              <w:t>х+20+6</w:t>
            </w:r>
          </w:p>
        </w:tc>
      </w:tr>
      <w:tr w:rsidR="00C14DCD" w:rsidRPr="005379F4" w14:paraId="09042474" w14:textId="77777777" w:rsidTr="00C14DCD">
        <w:trPr>
          <w:trHeight w:val="200"/>
          <w:jc w:val="center"/>
        </w:trPr>
        <w:tc>
          <w:tcPr>
            <w:tcW w:w="2076" w:type="dxa"/>
            <w:vAlign w:val="center"/>
          </w:tcPr>
          <w:p w14:paraId="0994040E" w14:textId="77777777" w:rsidR="00C14DCD" w:rsidRPr="005379F4" w:rsidRDefault="00C14DCD" w:rsidP="005379F4">
            <w:pPr>
              <w:tabs>
                <w:tab w:val="left" w:pos="1100"/>
              </w:tabs>
              <w:spacing w:before="120" w:after="120"/>
              <w:jc w:val="center"/>
              <w:rPr>
                <w:rFonts w:cs="Tahoma"/>
              </w:rPr>
            </w:pPr>
            <w:r w:rsidRPr="005379F4">
              <w:rPr>
                <w:rFonts w:cs="Tahoma"/>
                <w:color w:val="000000"/>
              </w:rPr>
              <w:t>х+7</w:t>
            </w:r>
          </w:p>
        </w:tc>
        <w:tc>
          <w:tcPr>
            <w:tcW w:w="1306" w:type="dxa"/>
            <w:vAlign w:val="center"/>
          </w:tcPr>
          <w:p w14:paraId="0E6C3434"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681B5B52"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7C8B4DF9" w14:textId="77777777" w:rsidR="00C14DCD" w:rsidRPr="005379F4" w:rsidRDefault="00C14DCD" w:rsidP="005379F4">
            <w:pPr>
              <w:tabs>
                <w:tab w:val="left" w:pos="1100"/>
              </w:tabs>
              <w:spacing w:before="120" w:after="120"/>
              <w:jc w:val="center"/>
              <w:rPr>
                <w:rFonts w:cs="Tahoma"/>
              </w:rPr>
            </w:pPr>
          </w:p>
        </w:tc>
        <w:tc>
          <w:tcPr>
            <w:tcW w:w="1543" w:type="dxa"/>
            <w:vAlign w:val="center"/>
          </w:tcPr>
          <w:p w14:paraId="073B4CF6" w14:textId="77777777" w:rsidR="00C14DCD" w:rsidRPr="005379F4" w:rsidRDefault="00C14DCD" w:rsidP="005379F4">
            <w:pPr>
              <w:tabs>
                <w:tab w:val="left" w:pos="1100"/>
              </w:tabs>
              <w:spacing w:before="120" w:after="120"/>
              <w:jc w:val="center"/>
              <w:rPr>
                <w:rFonts w:cs="Tahoma"/>
              </w:rPr>
            </w:pPr>
            <w:r w:rsidRPr="005379F4">
              <w:rPr>
                <w:rFonts w:cs="Tahoma"/>
                <w:color w:val="000000"/>
              </w:rPr>
              <w:t>х+20+7</w:t>
            </w:r>
          </w:p>
        </w:tc>
      </w:tr>
      <w:tr w:rsidR="00C14DCD" w:rsidRPr="005379F4" w14:paraId="76647200" w14:textId="77777777" w:rsidTr="00C14DCD">
        <w:trPr>
          <w:trHeight w:val="200"/>
          <w:jc w:val="center"/>
        </w:trPr>
        <w:tc>
          <w:tcPr>
            <w:tcW w:w="2076" w:type="dxa"/>
            <w:vAlign w:val="center"/>
          </w:tcPr>
          <w:p w14:paraId="7EF73A9F" w14:textId="77777777" w:rsidR="00C14DCD" w:rsidRPr="005379F4" w:rsidRDefault="00C14DCD" w:rsidP="005379F4">
            <w:pPr>
              <w:tabs>
                <w:tab w:val="left" w:pos="1100"/>
              </w:tabs>
              <w:spacing w:before="120" w:after="120"/>
              <w:jc w:val="center"/>
              <w:rPr>
                <w:rFonts w:cs="Tahoma"/>
              </w:rPr>
            </w:pPr>
            <w:r w:rsidRPr="005379F4">
              <w:rPr>
                <w:rFonts w:cs="Tahoma"/>
                <w:color w:val="000000"/>
              </w:rPr>
              <w:t>х+8</w:t>
            </w:r>
          </w:p>
        </w:tc>
        <w:tc>
          <w:tcPr>
            <w:tcW w:w="1306" w:type="dxa"/>
            <w:vAlign w:val="center"/>
          </w:tcPr>
          <w:p w14:paraId="6D90E6B6"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6AEFC52F"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0B6C79AA" w14:textId="77777777" w:rsidR="00C14DCD" w:rsidRPr="005379F4" w:rsidRDefault="00C14DCD" w:rsidP="005379F4">
            <w:pPr>
              <w:tabs>
                <w:tab w:val="left" w:pos="1100"/>
              </w:tabs>
              <w:spacing w:before="120" w:after="120"/>
              <w:jc w:val="center"/>
              <w:rPr>
                <w:rFonts w:cs="Tahoma"/>
              </w:rPr>
            </w:pPr>
          </w:p>
        </w:tc>
        <w:tc>
          <w:tcPr>
            <w:tcW w:w="1543" w:type="dxa"/>
            <w:vAlign w:val="center"/>
          </w:tcPr>
          <w:p w14:paraId="5B841D49" w14:textId="77777777" w:rsidR="00C14DCD" w:rsidRPr="005379F4" w:rsidRDefault="00C14DCD" w:rsidP="005379F4">
            <w:pPr>
              <w:tabs>
                <w:tab w:val="left" w:pos="1100"/>
              </w:tabs>
              <w:spacing w:before="120" w:after="120"/>
              <w:jc w:val="center"/>
              <w:rPr>
                <w:rFonts w:cs="Tahoma"/>
              </w:rPr>
            </w:pPr>
            <w:r w:rsidRPr="005379F4">
              <w:rPr>
                <w:rFonts w:cs="Tahoma"/>
                <w:color w:val="000000"/>
              </w:rPr>
              <w:t>х+20+8</w:t>
            </w:r>
          </w:p>
        </w:tc>
      </w:tr>
      <w:tr w:rsidR="00C14DCD" w:rsidRPr="005379F4" w14:paraId="08EDC2C7" w14:textId="77777777" w:rsidTr="00C14DCD">
        <w:trPr>
          <w:trHeight w:val="208"/>
          <w:jc w:val="center"/>
        </w:trPr>
        <w:tc>
          <w:tcPr>
            <w:tcW w:w="2076" w:type="dxa"/>
            <w:vAlign w:val="center"/>
          </w:tcPr>
          <w:p w14:paraId="06766D34" w14:textId="77777777" w:rsidR="00C14DCD" w:rsidRPr="005379F4" w:rsidRDefault="00C14DCD" w:rsidP="005379F4">
            <w:pPr>
              <w:tabs>
                <w:tab w:val="left" w:pos="1100"/>
              </w:tabs>
              <w:spacing w:before="120" w:after="120"/>
              <w:jc w:val="center"/>
              <w:rPr>
                <w:rFonts w:cs="Tahoma"/>
              </w:rPr>
            </w:pPr>
            <w:r w:rsidRPr="005379F4">
              <w:rPr>
                <w:rFonts w:cs="Tahoma"/>
                <w:color w:val="000000"/>
              </w:rPr>
              <w:t>х+9</w:t>
            </w:r>
          </w:p>
        </w:tc>
        <w:tc>
          <w:tcPr>
            <w:tcW w:w="1306" w:type="dxa"/>
            <w:vAlign w:val="center"/>
          </w:tcPr>
          <w:p w14:paraId="08481978"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5105BF33"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6484E09D" w14:textId="77777777" w:rsidR="00C14DCD" w:rsidRPr="005379F4" w:rsidRDefault="00C14DCD" w:rsidP="005379F4">
            <w:pPr>
              <w:tabs>
                <w:tab w:val="left" w:pos="1100"/>
              </w:tabs>
              <w:spacing w:before="120" w:after="120"/>
              <w:jc w:val="center"/>
              <w:rPr>
                <w:rFonts w:cs="Tahoma"/>
              </w:rPr>
            </w:pPr>
          </w:p>
        </w:tc>
        <w:tc>
          <w:tcPr>
            <w:tcW w:w="1543" w:type="dxa"/>
            <w:vAlign w:val="center"/>
          </w:tcPr>
          <w:p w14:paraId="58A9E61D" w14:textId="77777777" w:rsidR="00C14DCD" w:rsidRPr="005379F4" w:rsidRDefault="00C14DCD" w:rsidP="005379F4">
            <w:pPr>
              <w:tabs>
                <w:tab w:val="left" w:pos="1100"/>
              </w:tabs>
              <w:spacing w:before="120" w:after="120"/>
              <w:jc w:val="center"/>
              <w:rPr>
                <w:rFonts w:cs="Tahoma"/>
              </w:rPr>
            </w:pPr>
            <w:r w:rsidRPr="005379F4">
              <w:rPr>
                <w:rFonts w:cs="Tahoma"/>
                <w:color w:val="000000"/>
              </w:rPr>
              <w:t>х+20+9</w:t>
            </w:r>
          </w:p>
        </w:tc>
      </w:tr>
      <w:tr w:rsidR="00C14DCD" w:rsidRPr="005379F4" w14:paraId="0BD0D691" w14:textId="77777777" w:rsidTr="00C14DCD">
        <w:trPr>
          <w:trHeight w:val="200"/>
          <w:jc w:val="center"/>
        </w:trPr>
        <w:tc>
          <w:tcPr>
            <w:tcW w:w="2076" w:type="dxa"/>
            <w:vAlign w:val="center"/>
          </w:tcPr>
          <w:p w14:paraId="2455F069" w14:textId="77777777" w:rsidR="00C14DCD" w:rsidRPr="005379F4" w:rsidRDefault="00C14DCD" w:rsidP="005379F4">
            <w:pPr>
              <w:tabs>
                <w:tab w:val="left" w:pos="1100"/>
              </w:tabs>
              <w:spacing w:before="120" w:after="120"/>
              <w:jc w:val="center"/>
              <w:rPr>
                <w:rFonts w:cs="Tahoma"/>
              </w:rPr>
            </w:pPr>
            <w:r w:rsidRPr="005379F4">
              <w:rPr>
                <w:rFonts w:cs="Tahoma"/>
                <w:color w:val="000000"/>
              </w:rPr>
              <w:t>х+10</w:t>
            </w:r>
          </w:p>
        </w:tc>
        <w:tc>
          <w:tcPr>
            <w:tcW w:w="1306" w:type="dxa"/>
            <w:vAlign w:val="center"/>
          </w:tcPr>
          <w:p w14:paraId="0FF4B4C1"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39C703F7"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22EFE8E2" w14:textId="77777777" w:rsidR="00C14DCD" w:rsidRPr="005379F4" w:rsidRDefault="00C14DCD" w:rsidP="005379F4">
            <w:pPr>
              <w:tabs>
                <w:tab w:val="left" w:pos="1100"/>
              </w:tabs>
              <w:spacing w:before="120" w:after="120"/>
              <w:jc w:val="center"/>
              <w:rPr>
                <w:rFonts w:cs="Tahoma"/>
              </w:rPr>
            </w:pPr>
          </w:p>
        </w:tc>
        <w:tc>
          <w:tcPr>
            <w:tcW w:w="1543" w:type="dxa"/>
            <w:vAlign w:val="center"/>
          </w:tcPr>
          <w:p w14:paraId="68C5EAE2" w14:textId="77777777" w:rsidR="00C14DCD" w:rsidRPr="005379F4" w:rsidRDefault="00C14DCD" w:rsidP="005379F4">
            <w:pPr>
              <w:tabs>
                <w:tab w:val="left" w:pos="1100"/>
              </w:tabs>
              <w:spacing w:before="120" w:after="120"/>
              <w:jc w:val="center"/>
              <w:rPr>
                <w:rFonts w:cs="Tahoma"/>
              </w:rPr>
            </w:pPr>
            <w:r w:rsidRPr="005379F4">
              <w:rPr>
                <w:rFonts w:cs="Tahoma"/>
                <w:color w:val="000000"/>
              </w:rPr>
              <w:t>х+20+10</w:t>
            </w:r>
          </w:p>
        </w:tc>
      </w:tr>
      <w:tr w:rsidR="00C14DCD" w:rsidRPr="005379F4" w14:paraId="3974BBC9" w14:textId="77777777" w:rsidTr="00C14DCD">
        <w:trPr>
          <w:trHeight w:val="200"/>
          <w:jc w:val="center"/>
        </w:trPr>
        <w:tc>
          <w:tcPr>
            <w:tcW w:w="2076" w:type="dxa"/>
            <w:vAlign w:val="center"/>
          </w:tcPr>
          <w:p w14:paraId="65C432D1" w14:textId="77777777" w:rsidR="00C14DCD" w:rsidRPr="005379F4" w:rsidRDefault="00C14DCD" w:rsidP="005379F4">
            <w:pPr>
              <w:tabs>
                <w:tab w:val="left" w:pos="1100"/>
              </w:tabs>
              <w:spacing w:before="120" w:after="120"/>
              <w:jc w:val="center"/>
              <w:rPr>
                <w:rFonts w:cs="Tahoma"/>
              </w:rPr>
            </w:pPr>
            <w:proofErr w:type="spellStart"/>
            <w:r w:rsidRPr="005379F4">
              <w:rPr>
                <w:rFonts w:cs="Tahoma"/>
                <w:color w:val="000000"/>
              </w:rPr>
              <w:t>х+n</w:t>
            </w:r>
            <w:proofErr w:type="spellEnd"/>
          </w:p>
        </w:tc>
        <w:tc>
          <w:tcPr>
            <w:tcW w:w="1306" w:type="dxa"/>
            <w:vAlign w:val="center"/>
          </w:tcPr>
          <w:p w14:paraId="32DE7A55"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1C07D2C4" w14:textId="77777777" w:rsidR="00C14DCD" w:rsidRPr="005379F4" w:rsidRDefault="00C14DCD" w:rsidP="005379F4">
            <w:pPr>
              <w:tabs>
                <w:tab w:val="left" w:pos="1100"/>
              </w:tabs>
              <w:spacing w:before="120" w:after="120"/>
              <w:jc w:val="center"/>
              <w:rPr>
                <w:rFonts w:cs="Tahoma"/>
              </w:rPr>
            </w:pPr>
          </w:p>
        </w:tc>
        <w:tc>
          <w:tcPr>
            <w:tcW w:w="1342" w:type="dxa"/>
            <w:vAlign w:val="center"/>
          </w:tcPr>
          <w:p w14:paraId="732D7268" w14:textId="77777777" w:rsidR="00C14DCD" w:rsidRPr="005379F4" w:rsidRDefault="00C14DCD" w:rsidP="005379F4">
            <w:pPr>
              <w:tabs>
                <w:tab w:val="left" w:pos="1100"/>
              </w:tabs>
              <w:spacing w:before="120" w:after="120"/>
              <w:jc w:val="center"/>
              <w:rPr>
                <w:rFonts w:cs="Tahoma"/>
              </w:rPr>
            </w:pPr>
          </w:p>
        </w:tc>
        <w:tc>
          <w:tcPr>
            <w:tcW w:w="1543" w:type="dxa"/>
            <w:vAlign w:val="center"/>
          </w:tcPr>
          <w:p w14:paraId="318AEB61" w14:textId="77777777" w:rsidR="00C14DCD" w:rsidRPr="005379F4" w:rsidRDefault="00C14DCD" w:rsidP="005379F4">
            <w:pPr>
              <w:tabs>
                <w:tab w:val="left" w:pos="1100"/>
              </w:tabs>
              <w:spacing w:before="120" w:after="120"/>
              <w:jc w:val="center"/>
              <w:rPr>
                <w:rFonts w:cs="Tahoma"/>
              </w:rPr>
            </w:pPr>
            <w:r w:rsidRPr="005379F4">
              <w:rPr>
                <w:rFonts w:cs="Tahoma"/>
                <w:color w:val="000000"/>
              </w:rPr>
              <w:t>х+20+n</w:t>
            </w:r>
          </w:p>
        </w:tc>
      </w:tr>
      <w:bookmarkEnd w:id="106"/>
    </w:tbl>
    <w:p w14:paraId="18EA47AB" w14:textId="77777777" w:rsidR="00657156" w:rsidRPr="005379F4" w:rsidRDefault="00657156" w:rsidP="005379F4">
      <w:pPr>
        <w:spacing w:before="120" w:after="120"/>
        <w:rPr>
          <w:rFonts w:cs="Tahoma"/>
        </w:rPr>
      </w:pPr>
    </w:p>
    <w:p w14:paraId="09E5B57C" w14:textId="2C717538" w:rsidR="00C32555" w:rsidRPr="005379F4" w:rsidRDefault="00C32555" w:rsidP="005379F4">
      <w:pPr>
        <w:pStyle w:val="2"/>
        <w:numPr>
          <w:ilvl w:val="0"/>
          <w:numId w:val="0"/>
        </w:numPr>
        <w:spacing w:before="120" w:after="120"/>
        <w:ind w:left="1418"/>
        <w:rPr>
          <w:rFonts w:cs="Tahoma"/>
        </w:rPr>
      </w:pPr>
      <w:bookmarkStart w:id="107" w:name="_Hlk191285873"/>
      <w:r w:rsidRPr="005379F4">
        <w:rPr>
          <w:rFonts w:cs="Tahoma"/>
        </w:rPr>
        <w:t>* Calculation of the Indices starts on the trading day following the third Thursday in December of the preceding year.</w:t>
      </w:r>
    </w:p>
    <w:p w14:paraId="44982895" w14:textId="305637D6" w:rsidR="007653DC" w:rsidRPr="005379F4" w:rsidRDefault="007653DC" w:rsidP="005379F4">
      <w:pPr>
        <w:pStyle w:val="2"/>
        <w:numPr>
          <w:ilvl w:val="0"/>
          <w:numId w:val="0"/>
        </w:numPr>
        <w:spacing w:before="120" w:after="120"/>
        <w:ind w:left="1418"/>
        <w:rPr>
          <w:rFonts w:cs="Tahoma"/>
        </w:rPr>
      </w:pPr>
      <w:r w:rsidRPr="005379F4">
        <w:rPr>
          <w:rFonts w:cs="Tahoma"/>
        </w:rPr>
        <w:t>The target date is the third Thursday of December in the year in which the target date occurs.</w:t>
      </w:r>
    </w:p>
    <w:bookmarkEnd w:id="105"/>
    <w:bookmarkEnd w:id="107"/>
    <w:p w14:paraId="3BB4C110" w14:textId="77777777" w:rsidR="007D272A" w:rsidRPr="005379F4" w:rsidRDefault="00657156" w:rsidP="005379F4">
      <w:pPr>
        <w:tabs>
          <w:tab w:val="left" w:pos="1100"/>
        </w:tabs>
        <w:spacing w:before="120" w:after="120"/>
        <w:rPr>
          <w:rFonts w:cs="Tahoma"/>
        </w:rPr>
      </w:pPr>
      <w:r w:rsidRPr="005379F4">
        <w:rPr>
          <w:rFonts w:cs="Tahoma"/>
        </w:rPr>
        <w:tab/>
      </w:r>
    </w:p>
    <w:p w14:paraId="0704B23D" w14:textId="77777777" w:rsidR="00C14DCD" w:rsidRPr="005379F4" w:rsidRDefault="00C14DCD" w:rsidP="005379F4">
      <w:pPr>
        <w:tabs>
          <w:tab w:val="left" w:pos="1100"/>
        </w:tabs>
        <w:spacing w:before="120" w:after="120"/>
        <w:rPr>
          <w:rFonts w:cs="Tahoma"/>
        </w:rPr>
      </w:pPr>
    </w:p>
    <w:p w14:paraId="77CD5F3F" w14:textId="77777777" w:rsidR="00C14DCD" w:rsidRPr="005379F4" w:rsidRDefault="00C14DCD" w:rsidP="005379F4">
      <w:pPr>
        <w:tabs>
          <w:tab w:val="left" w:pos="1100"/>
        </w:tabs>
        <w:spacing w:before="120" w:after="120"/>
        <w:rPr>
          <w:rFonts w:cs="Tahoma"/>
        </w:rPr>
      </w:pPr>
    </w:p>
    <w:p w14:paraId="3BB92A60" w14:textId="5A367FB0" w:rsidR="00C14DCD" w:rsidRPr="005379F4" w:rsidRDefault="00C14DCD" w:rsidP="005379F4">
      <w:pPr>
        <w:tabs>
          <w:tab w:val="left" w:pos="1100"/>
        </w:tabs>
        <w:spacing w:before="120" w:after="120"/>
        <w:rPr>
          <w:rFonts w:cs="Tahoma"/>
        </w:rPr>
        <w:sectPr w:rsidR="00C14DCD" w:rsidRPr="005379F4" w:rsidSect="007653DC">
          <w:pgSz w:w="11906" w:h="16838"/>
          <w:pgMar w:top="1077" w:right="1134" w:bottom="1077" w:left="1418" w:header="709" w:footer="709" w:gutter="0"/>
          <w:cols w:space="708"/>
          <w:titlePg/>
          <w:docGrid w:linePitch="360"/>
        </w:sectPr>
      </w:pPr>
    </w:p>
    <w:p w14:paraId="499B67DC" w14:textId="33571062" w:rsidR="007D272A" w:rsidRPr="005379F4" w:rsidRDefault="007D272A" w:rsidP="005379F4">
      <w:pPr>
        <w:pStyle w:val="10"/>
        <w:numPr>
          <w:ilvl w:val="0"/>
          <w:numId w:val="0"/>
        </w:numPr>
        <w:spacing w:before="120" w:after="120"/>
        <w:ind w:left="397"/>
        <w:jc w:val="right"/>
        <w:rPr>
          <w:rFonts w:cs="Tahoma"/>
        </w:rPr>
      </w:pPr>
      <w:bookmarkStart w:id="108" w:name="_Toc198051190"/>
      <w:r w:rsidRPr="005379F4">
        <w:rPr>
          <w:rFonts w:cs="Tahoma"/>
        </w:rPr>
        <w:lastRenderedPageBreak/>
        <w:t>Appendix 3</w:t>
      </w:r>
      <w:bookmarkEnd w:id="108"/>
    </w:p>
    <w:p w14:paraId="69EC4B98" w14:textId="77777777" w:rsidR="007D272A" w:rsidRPr="005379F4" w:rsidRDefault="007D272A" w:rsidP="005379F4">
      <w:pPr>
        <w:tabs>
          <w:tab w:val="left" w:pos="993"/>
        </w:tabs>
        <w:spacing w:before="120" w:after="120"/>
        <w:ind w:left="992"/>
        <w:jc w:val="center"/>
        <w:rPr>
          <w:rFonts w:cs="Tahoma"/>
          <w:b/>
          <w:szCs w:val="20"/>
        </w:rPr>
      </w:pPr>
      <w:r w:rsidRPr="005379F4">
        <w:rPr>
          <w:rFonts w:cs="Tahoma"/>
          <w:b/>
        </w:rPr>
        <w:t>Target weights of Sub-Indices in the Index as of the limit date</w:t>
      </w:r>
    </w:p>
    <w:tbl>
      <w:tblPr>
        <w:tblW w:w="0" w:type="auto"/>
        <w:tblLook w:val="04A0" w:firstRow="1" w:lastRow="0" w:firstColumn="1" w:lastColumn="0" w:noHBand="0" w:noVBand="1"/>
      </w:tblPr>
      <w:tblGrid>
        <w:gridCol w:w="1696"/>
        <w:gridCol w:w="1701"/>
        <w:gridCol w:w="1985"/>
        <w:gridCol w:w="1843"/>
        <w:gridCol w:w="2119"/>
      </w:tblGrid>
      <w:tr w:rsidR="00E0458F" w:rsidRPr="005379F4" w14:paraId="1C9F05E0" w14:textId="77777777" w:rsidTr="00E0458F">
        <w:trPr>
          <w:trHeight w:val="44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CFCE8" w14:textId="022EC251" w:rsidR="007D272A" w:rsidRPr="005379F4" w:rsidRDefault="00E0458F" w:rsidP="005379F4">
            <w:pPr>
              <w:spacing w:before="120" w:after="120"/>
              <w:jc w:val="center"/>
              <w:rPr>
                <w:rFonts w:cs="Tahoma"/>
                <w:b/>
                <w:bCs/>
                <w:color w:val="000000"/>
                <w:szCs w:val="20"/>
              </w:rPr>
            </w:pPr>
            <w:r w:rsidRPr="005379F4">
              <w:rPr>
                <w:rFonts w:cs="Tahoma"/>
                <w:b/>
                <w:color w:val="000000"/>
              </w:rPr>
              <w:t>Time to target date, years</w:t>
            </w:r>
          </w:p>
        </w:tc>
        <w:tc>
          <w:tcPr>
            <w:tcW w:w="764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1F1F54" w14:textId="53A267DE" w:rsidR="007D272A" w:rsidRPr="005379F4" w:rsidRDefault="00E0458F" w:rsidP="005379F4">
            <w:pPr>
              <w:spacing w:before="120" w:after="120"/>
              <w:jc w:val="center"/>
              <w:rPr>
                <w:rFonts w:cs="Tahoma"/>
                <w:b/>
                <w:bCs/>
                <w:color w:val="000000"/>
                <w:szCs w:val="20"/>
              </w:rPr>
            </w:pPr>
            <w:r w:rsidRPr="005379F4">
              <w:rPr>
                <w:rFonts w:cs="Tahoma"/>
                <w:b/>
                <w:color w:val="000000"/>
              </w:rPr>
              <w:t>Sub-index weights</w:t>
            </w:r>
          </w:p>
        </w:tc>
      </w:tr>
      <w:tr w:rsidR="00E0458F" w:rsidRPr="005379F4" w14:paraId="3B524490" w14:textId="77777777" w:rsidTr="00E0458F">
        <w:trPr>
          <w:trHeight w:val="222"/>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BB1152E" w14:textId="77777777" w:rsidR="00E0458F" w:rsidRPr="005379F4" w:rsidRDefault="00E0458F" w:rsidP="005379F4">
            <w:pPr>
              <w:spacing w:before="120" w:after="120"/>
              <w:rPr>
                <w:rFonts w:cs="Tahoma"/>
                <w:b/>
                <w:bCs/>
                <w:color w:val="00000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73863F07" w14:textId="58F87873" w:rsidR="00E0458F" w:rsidRPr="005379F4" w:rsidRDefault="00E0458F" w:rsidP="005379F4">
            <w:pPr>
              <w:spacing w:before="120" w:after="120"/>
              <w:jc w:val="center"/>
              <w:rPr>
                <w:rFonts w:cs="Tahoma"/>
                <w:color w:val="000000"/>
                <w:szCs w:val="20"/>
              </w:rPr>
            </w:pPr>
            <w:r w:rsidRPr="005379F4">
              <w:rPr>
                <w:rFonts w:cs="Tahoma"/>
                <w:b/>
                <w:color w:val="000000"/>
              </w:rPr>
              <w:t>Equity Sub-Index</w:t>
            </w:r>
          </w:p>
        </w:tc>
        <w:tc>
          <w:tcPr>
            <w:tcW w:w="1985" w:type="dxa"/>
            <w:tcBorders>
              <w:top w:val="nil"/>
              <w:left w:val="nil"/>
              <w:bottom w:val="single" w:sz="4" w:space="0" w:color="auto"/>
              <w:right w:val="single" w:sz="4" w:space="0" w:color="auto"/>
            </w:tcBorders>
            <w:shd w:val="clear" w:color="auto" w:fill="auto"/>
            <w:noWrap/>
            <w:vAlign w:val="center"/>
            <w:hideMark/>
          </w:tcPr>
          <w:p w14:paraId="002CEE07" w14:textId="41D8414F" w:rsidR="00E0458F" w:rsidRPr="005379F4" w:rsidRDefault="00E0458F" w:rsidP="005379F4">
            <w:pPr>
              <w:spacing w:before="120" w:after="120"/>
              <w:jc w:val="center"/>
              <w:rPr>
                <w:rFonts w:cs="Tahoma"/>
                <w:color w:val="000000"/>
                <w:szCs w:val="20"/>
              </w:rPr>
            </w:pPr>
            <w:r w:rsidRPr="005379F4">
              <w:rPr>
                <w:rFonts w:cs="Tahoma"/>
                <w:b/>
                <w:color w:val="000000"/>
              </w:rPr>
              <w:t>Corporate Bond Sub-Index</w:t>
            </w:r>
          </w:p>
        </w:tc>
        <w:tc>
          <w:tcPr>
            <w:tcW w:w="1843" w:type="dxa"/>
            <w:tcBorders>
              <w:top w:val="nil"/>
              <w:left w:val="nil"/>
              <w:bottom w:val="single" w:sz="4" w:space="0" w:color="auto"/>
              <w:right w:val="single" w:sz="4" w:space="0" w:color="auto"/>
            </w:tcBorders>
            <w:shd w:val="clear" w:color="auto" w:fill="auto"/>
            <w:noWrap/>
            <w:vAlign w:val="center"/>
            <w:hideMark/>
          </w:tcPr>
          <w:p w14:paraId="56B42708" w14:textId="777A335F" w:rsidR="00E0458F" w:rsidRPr="005379F4" w:rsidRDefault="00E0458F" w:rsidP="005379F4">
            <w:pPr>
              <w:spacing w:before="120" w:after="120"/>
              <w:jc w:val="center"/>
              <w:rPr>
                <w:rFonts w:cs="Tahoma"/>
                <w:color w:val="000000"/>
                <w:szCs w:val="20"/>
              </w:rPr>
            </w:pPr>
            <w:r w:rsidRPr="005379F4">
              <w:rPr>
                <w:rFonts w:cs="Tahoma"/>
                <w:b/>
                <w:color w:val="000000"/>
              </w:rPr>
              <w:t>Government Bond Sub-Index</w:t>
            </w:r>
          </w:p>
        </w:tc>
        <w:tc>
          <w:tcPr>
            <w:tcW w:w="2119" w:type="dxa"/>
            <w:tcBorders>
              <w:top w:val="nil"/>
              <w:left w:val="nil"/>
              <w:bottom w:val="single" w:sz="4" w:space="0" w:color="auto"/>
              <w:right w:val="single" w:sz="4" w:space="0" w:color="auto"/>
            </w:tcBorders>
            <w:shd w:val="clear" w:color="auto" w:fill="auto"/>
            <w:noWrap/>
            <w:vAlign w:val="center"/>
            <w:hideMark/>
          </w:tcPr>
          <w:p w14:paraId="584A495B" w14:textId="0F8BB7E4" w:rsidR="00E0458F" w:rsidRPr="005379F4" w:rsidRDefault="00E0458F" w:rsidP="005379F4">
            <w:pPr>
              <w:spacing w:before="120" w:after="120"/>
              <w:jc w:val="center"/>
              <w:rPr>
                <w:rFonts w:cs="Tahoma"/>
                <w:color w:val="000000"/>
                <w:szCs w:val="20"/>
              </w:rPr>
            </w:pPr>
            <w:r w:rsidRPr="005379F4">
              <w:rPr>
                <w:rFonts w:cs="Tahoma"/>
                <w:b/>
                <w:color w:val="000000"/>
              </w:rPr>
              <w:t>Money Market Sub-Index</w:t>
            </w:r>
          </w:p>
        </w:tc>
      </w:tr>
      <w:tr w:rsidR="00850276" w:rsidRPr="005379F4" w14:paraId="24B57119"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4D5F3E1" w14:textId="563D42CF" w:rsidR="00850276" w:rsidRPr="005379F4" w:rsidRDefault="00850276" w:rsidP="005379F4">
            <w:pPr>
              <w:spacing w:before="120" w:after="120"/>
              <w:jc w:val="center"/>
              <w:rPr>
                <w:rFonts w:cs="Tahoma"/>
                <w:color w:val="000000"/>
                <w:szCs w:val="20"/>
              </w:rPr>
            </w:pPr>
            <w:r w:rsidRPr="005379F4">
              <w:rPr>
                <w:rFonts w:cs="Tahoma"/>
              </w:rPr>
              <w:t>20</w:t>
            </w:r>
          </w:p>
        </w:tc>
        <w:tc>
          <w:tcPr>
            <w:tcW w:w="1701" w:type="dxa"/>
            <w:tcBorders>
              <w:top w:val="nil"/>
              <w:left w:val="nil"/>
              <w:bottom w:val="single" w:sz="4" w:space="0" w:color="auto"/>
              <w:right w:val="single" w:sz="4" w:space="0" w:color="auto"/>
            </w:tcBorders>
            <w:shd w:val="clear" w:color="auto" w:fill="auto"/>
            <w:noWrap/>
            <w:vAlign w:val="center"/>
            <w:hideMark/>
          </w:tcPr>
          <w:p w14:paraId="4EF9F280" w14:textId="48C9E0B2"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65D90AC3" w14:textId="2785B16F" w:rsidR="00850276" w:rsidRPr="005379F4" w:rsidRDefault="00850276" w:rsidP="005379F4">
            <w:pPr>
              <w:spacing w:before="120" w:after="120"/>
              <w:jc w:val="center"/>
              <w:rPr>
                <w:rFonts w:cs="Tahoma"/>
                <w:color w:val="000000"/>
                <w:szCs w:val="20"/>
              </w:rPr>
            </w:pPr>
            <w:r w:rsidRPr="005379F4">
              <w:rPr>
                <w:rFonts w:cs="Tahoma"/>
                <w:color w:val="000000"/>
              </w:rPr>
              <w:t>0%</w:t>
            </w:r>
          </w:p>
        </w:tc>
        <w:tc>
          <w:tcPr>
            <w:tcW w:w="1843" w:type="dxa"/>
            <w:tcBorders>
              <w:top w:val="nil"/>
              <w:left w:val="nil"/>
              <w:bottom w:val="single" w:sz="4" w:space="0" w:color="auto"/>
              <w:right w:val="single" w:sz="4" w:space="0" w:color="auto"/>
            </w:tcBorders>
            <w:shd w:val="clear" w:color="auto" w:fill="auto"/>
            <w:noWrap/>
            <w:vAlign w:val="center"/>
            <w:hideMark/>
          </w:tcPr>
          <w:p w14:paraId="527EDB1E" w14:textId="1C7208FD" w:rsidR="00850276" w:rsidRPr="005379F4" w:rsidRDefault="00850276" w:rsidP="005379F4">
            <w:pPr>
              <w:spacing w:before="120" w:after="120"/>
              <w:jc w:val="center"/>
              <w:rPr>
                <w:rFonts w:cs="Tahoma"/>
                <w:color w:val="000000"/>
                <w:szCs w:val="20"/>
              </w:rPr>
            </w:pPr>
            <w:r w:rsidRPr="005379F4">
              <w:rPr>
                <w:rFonts w:cs="Tahoma"/>
                <w:color w:val="000000"/>
              </w:rPr>
              <w:t>25%</w:t>
            </w:r>
          </w:p>
        </w:tc>
        <w:tc>
          <w:tcPr>
            <w:tcW w:w="2119" w:type="dxa"/>
            <w:tcBorders>
              <w:top w:val="nil"/>
              <w:left w:val="nil"/>
              <w:bottom w:val="single" w:sz="4" w:space="0" w:color="auto"/>
              <w:right w:val="single" w:sz="4" w:space="0" w:color="auto"/>
            </w:tcBorders>
            <w:shd w:val="clear" w:color="auto" w:fill="auto"/>
            <w:noWrap/>
            <w:vAlign w:val="center"/>
            <w:hideMark/>
          </w:tcPr>
          <w:p w14:paraId="67A8E689" w14:textId="7FB55C2E"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2E68ADD8"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FC0A28C" w14:textId="2EF03802" w:rsidR="00850276" w:rsidRPr="005379F4" w:rsidRDefault="00850276" w:rsidP="005379F4">
            <w:pPr>
              <w:spacing w:before="120" w:after="120"/>
              <w:jc w:val="center"/>
              <w:rPr>
                <w:rFonts w:cs="Tahoma"/>
                <w:color w:val="000000"/>
                <w:szCs w:val="20"/>
              </w:rPr>
            </w:pPr>
            <w:r w:rsidRPr="005379F4">
              <w:rPr>
                <w:rFonts w:cs="Tahoma"/>
              </w:rPr>
              <w:t>19</w:t>
            </w:r>
          </w:p>
        </w:tc>
        <w:tc>
          <w:tcPr>
            <w:tcW w:w="1701" w:type="dxa"/>
            <w:tcBorders>
              <w:top w:val="nil"/>
              <w:left w:val="nil"/>
              <w:bottom w:val="single" w:sz="4" w:space="0" w:color="auto"/>
              <w:right w:val="single" w:sz="4" w:space="0" w:color="auto"/>
            </w:tcBorders>
            <w:shd w:val="clear" w:color="auto" w:fill="auto"/>
            <w:noWrap/>
            <w:vAlign w:val="center"/>
            <w:hideMark/>
          </w:tcPr>
          <w:p w14:paraId="7C28C639" w14:textId="359E1B38"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43497217" w14:textId="0EE3EED7" w:rsidR="00850276" w:rsidRPr="005379F4" w:rsidRDefault="00850276" w:rsidP="005379F4">
            <w:pPr>
              <w:spacing w:before="120" w:after="120"/>
              <w:jc w:val="center"/>
              <w:rPr>
                <w:rFonts w:cs="Tahoma"/>
                <w:color w:val="000000"/>
                <w:szCs w:val="20"/>
              </w:rPr>
            </w:pPr>
            <w:r w:rsidRPr="005379F4">
              <w:rPr>
                <w:rFonts w:cs="Tahoma"/>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14:paraId="73AAC015" w14:textId="2E056E2F" w:rsidR="00850276" w:rsidRPr="005379F4" w:rsidRDefault="00850276" w:rsidP="005379F4">
            <w:pPr>
              <w:spacing w:before="120" w:after="120"/>
              <w:jc w:val="center"/>
              <w:rPr>
                <w:rFonts w:cs="Tahoma"/>
                <w:color w:val="000000"/>
                <w:szCs w:val="20"/>
              </w:rPr>
            </w:pPr>
            <w:r w:rsidRPr="005379F4">
              <w:rPr>
                <w:rFonts w:cs="Tahoma"/>
                <w:color w:val="000000"/>
              </w:rPr>
              <w:t>24%</w:t>
            </w:r>
          </w:p>
        </w:tc>
        <w:tc>
          <w:tcPr>
            <w:tcW w:w="2119" w:type="dxa"/>
            <w:tcBorders>
              <w:top w:val="nil"/>
              <w:left w:val="nil"/>
              <w:bottom w:val="single" w:sz="4" w:space="0" w:color="auto"/>
              <w:right w:val="single" w:sz="4" w:space="0" w:color="auto"/>
            </w:tcBorders>
            <w:shd w:val="clear" w:color="auto" w:fill="auto"/>
            <w:noWrap/>
            <w:vAlign w:val="center"/>
            <w:hideMark/>
          </w:tcPr>
          <w:p w14:paraId="7897DCC3" w14:textId="1884F9AB"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495A737D"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0E20C38" w14:textId="5BCF7162" w:rsidR="00850276" w:rsidRPr="005379F4" w:rsidRDefault="00850276" w:rsidP="005379F4">
            <w:pPr>
              <w:spacing w:before="120" w:after="120"/>
              <w:jc w:val="center"/>
              <w:rPr>
                <w:rFonts w:cs="Tahoma"/>
                <w:color w:val="000000"/>
                <w:szCs w:val="20"/>
              </w:rPr>
            </w:pPr>
            <w:r w:rsidRPr="005379F4">
              <w:rPr>
                <w:rFonts w:cs="Tahoma"/>
              </w:rPr>
              <w:t>18</w:t>
            </w:r>
          </w:p>
        </w:tc>
        <w:tc>
          <w:tcPr>
            <w:tcW w:w="1701" w:type="dxa"/>
            <w:tcBorders>
              <w:top w:val="nil"/>
              <w:left w:val="nil"/>
              <w:bottom w:val="single" w:sz="4" w:space="0" w:color="auto"/>
              <w:right w:val="single" w:sz="4" w:space="0" w:color="auto"/>
            </w:tcBorders>
            <w:shd w:val="clear" w:color="auto" w:fill="auto"/>
            <w:noWrap/>
            <w:vAlign w:val="center"/>
            <w:hideMark/>
          </w:tcPr>
          <w:p w14:paraId="7AFB5E29" w14:textId="5FB4B82D"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18585657" w14:textId="3797B865" w:rsidR="00850276" w:rsidRPr="005379F4" w:rsidRDefault="00850276" w:rsidP="005379F4">
            <w:pPr>
              <w:spacing w:before="120" w:after="120"/>
              <w:jc w:val="center"/>
              <w:rPr>
                <w:rFonts w:cs="Tahoma"/>
                <w:color w:val="000000"/>
                <w:szCs w:val="20"/>
              </w:rPr>
            </w:pPr>
            <w:r w:rsidRPr="005379F4">
              <w:rPr>
                <w:rFonts w:cs="Tahoma"/>
                <w:color w:val="000000"/>
              </w:rPr>
              <w:t>2%</w:t>
            </w:r>
          </w:p>
        </w:tc>
        <w:tc>
          <w:tcPr>
            <w:tcW w:w="1843" w:type="dxa"/>
            <w:tcBorders>
              <w:top w:val="nil"/>
              <w:left w:val="nil"/>
              <w:bottom w:val="single" w:sz="4" w:space="0" w:color="auto"/>
              <w:right w:val="single" w:sz="4" w:space="0" w:color="auto"/>
            </w:tcBorders>
            <w:shd w:val="clear" w:color="auto" w:fill="auto"/>
            <w:noWrap/>
            <w:vAlign w:val="center"/>
            <w:hideMark/>
          </w:tcPr>
          <w:p w14:paraId="0FF507F9" w14:textId="0DED2899" w:rsidR="00850276" w:rsidRPr="005379F4" w:rsidRDefault="00850276" w:rsidP="005379F4">
            <w:pPr>
              <w:spacing w:before="120" w:after="120"/>
              <w:jc w:val="center"/>
              <w:rPr>
                <w:rFonts w:cs="Tahoma"/>
                <w:color w:val="000000"/>
                <w:szCs w:val="20"/>
              </w:rPr>
            </w:pPr>
            <w:r w:rsidRPr="005379F4">
              <w:rPr>
                <w:rFonts w:cs="Tahoma"/>
                <w:color w:val="000000"/>
              </w:rPr>
              <w:t>23%</w:t>
            </w:r>
          </w:p>
        </w:tc>
        <w:tc>
          <w:tcPr>
            <w:tcW w:w="2119" w:type="dxa"/>
            <w:tcBorders>
              <w:top w:val="nil"/>
              <w:left w:val="nil"/>
              <w:bottom w:val="single" w:sz="4" w:space="0" w:color="auto"/>
              <w:right w:val="single" w:sz="4" w:space="0" w:color="auto"/>
            </w:tcBorders>
            <w:shd w:val="clear" w:color="auto" w:fill="auto"/>
            <w:noWrap/>
            <w:vAlign w:val="center"/>
            <w:hideMark/>
          </w:tcPr>
          <w:p w14:paraId="463F900F" w14:textId="1E63B8F8"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7ECC882D"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E0D51FC" w14:textId="1A2DCBC5" w:rsidR="00850276" w:rsidRPr="005379F4" w:rsidRDefault="00850276" w:rsidP="005379F4">
            <w:pPr>
              <w:spacing w:before="120" w:after="120"/>
              <w:jc w:val="center"/>
              <w:rPr>
                <w:rFonts w:cs="Tahoma"/>
                <w:color w:val="000000"/>
                <w:szCs w:val="20"/>
              </w:rPr>
            </w:pPr>
            <w:r w:rsidRPr="005379F4">
              <w:rPr>
                <w:rFonts w:cs="Tahoma"/>
              </w:rPr>
              <w:t>17</w:t>
            </w:r>
          </w:p>
        </w:tc>
        <w:tc>
          <w:tcPr>
            <w:tcW w:w="1701" w:type="dxa"/>
            <w:tcBorders>
              <w:top w:val="nil"/>
              <w:left w:val="nil"/>
              <w:bottom w:val="single" w:sz="4" w:space="0" w:color="auto"/>
              <w:right w:val="single" w:sz="4" w:space="0" w:color="auto"/>
            </w:tcBorders>
            <w:shd w:val="clear" w:color="auto" w:fill="auto"/>
            <w:noWrap/>
            <w:vAlign w:val="center"/>
            <w:hideMark/>
          </w:tcPr>
          <w:p w14:paraId="500F06A4" w14:textId="2836DC6F"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6B7E901A" w14:textId="0AB5FBB2" w:rsidR="00850276" w:rsidRPr="005379F4" w:rsidRDefault="00850276" w:rsidP="005379F4">
            <w:pPr>
              <w:spacing w:before="120" w:after="120"/>
              <w:jc w:val="center"/>
              <w:rPr>
                <w:rFonts w:cs="Tahoma"/>
                <w:color w:val="000000"/>
                <w:szCs w:val="20"/>
              </w:rPr>
            </w:pPr>
            <w:r w:rsidRPr="005379F4">
              <w:rPr>
                <w:rFonts w:cs="Tahoma"/>
                <w:color w:val="000000"/>
              </w:rPr>
              <w:t>3%</w:t>
            </w:r>
          </w:p>
        </w:tc>
        <w:tc>
          <w:tcPr>
            <w:tcW w:w="1843" w:type="dxa"/>
            <w:tcBorders>
              <w:top w:val="nil"/>
              <w:left w:val="nil"/>
              <w:bottom w:val="single" w:sz="4" w:space="0" w:color="auto"/>
              <w:right w:val="single" w:sz="4" w:space="0" w:color="auto"/>
            </w:tcBorders>
            <w:shd w:val="clear" w:color="auto" w:fill="auto"/>
            <w:noWrap/>
            <w:vAlign w:val="center"/>
            <w:hideMark/>
          </w:tcPr>
          <w:p w14:paraId="716B1D12" w14:textId="5835F0BB" w:rsidR="00850276" w:rsidRPr="005379F4" w:rsidRDefault="00850276" w:rsidP="005379F4">
            <w:pPr>
              <w:spacing w:before="120" w:after="120"/>
              <w:jc w:val="center"/>
              <w:rPr>
                <w:rFonts w:cs="Tahoma"/>
                <w:color w:val="000000"/>
                <w:szCs w:val="20"/>
              </w:rPr>
            </w:pPr>
            <w:r w:rsidRPr="005379F4">
              <w:rPr>
                <w:rFonts w:cs="Tahoma"/>
                <w:color w:val="000000"/>
              </w:rPr>
              <w:t>22%</w:t>
            </w:r>
          </w:p>
        </w:tc>
        <w:tc>
          <w:tcPr>
            <w:tcW w:w="2119" w:type="dxa"/>
            <w:tcBorders>
              <w:top w:val="nil"/>
              <w:left w:val="nil"/>
              <w:bottom w:val="single" w:sz="4" w:space="0" w:color="auto"/>
              <w:right w:val="single" w:sz="4" w:space="0" w:color="auto"/>
            </w:tcBorders>
            <w:shd w:val="clear" w:color="auto" w:fill="auto"/>
            <w:noWrap/>
            <w:vAlign w:val="center"/>
            <w:hideMark/>
          </w:tcPr>
          <w:p w14:paraId="35471D79" w14:textId="3330535C"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597F00CD"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7912A4D" w14:textId="137FE3B3" w:rsidR="00850276" w:rsidRPr="005379F4" w:rsidRDefault="00850276" w:rsidP="005379F4">
            <w:pPr>
              <w:spacing w:before="120" w:after="120"/>
              <w:jc w:val="center"/>
              <w:rPr>
                <w:rFonts w:cs="Tahoma"/>
                <w:color w:val="000000"/>
                <w:szCs w:val="20"/>
              </w:rPr>
            </w:pPr>
            <w:r w:rsidRPr="005379F4">
              <w:rPr>
                <w:rFonts w:cs="Tahoma"/>
              </w:rPr>
              <w:t>16</w:t>
            </w:r>
          </w:p>
        </w:tc>
        <w:tc>
          <w:tcPr>
            <w:tcW w:w="1701" w:type="dxa"/>
            <w:tcBorders>
              <w:top w:val="nil"/>
              <w:left w:val="nil"/>
              <w:bottom w:val="single" w:sz="4" w:space="0" w:color="auto"/>
              <w:right w:val="single" w:sz="4" w:space="0" w:color="auto"/>
            </w:tcBorders>
            <w:shd w:val="clear" w:color="auto" w:fill="auto"/>
            <w:noWrap/>
            <w:vAlign w:val="center"/>
            <w:hideMark/>
          </w:tcPr>
          <w:p w14:paraId="67107A80" w14:textId="2F76C8D2"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7E3878FB" w14:textId="39A4D3CB" w:rsidR="00850276" w:rsidRPr="005379F4" w:rsidRDefault="00850276" w:rsidP="005379F4">
            <w:pPr>
              <w:spacing w:before="120" w:after="120"/>
              <w:jc w:val="center"/>
              <w:rPr>
                <w:rFonts w:cs="Tahoma"/>
                <w:color w:val="000000"/>
                <w:szCs w:val="20"/>
              </w:rPr>
            </w:pPr>
            <w:r w:rsidRPr="005379F4">
              <w:rPr>
                <w:rFonts w:cs="Tahoma"/>
                <w:color w:val="000000"/>
              </w:rPr>
              <w:t>4%</w:t>
            </w:r>
          </w:p>
        </w:tc>
        <w:tc>
          <w:tcPr>
            <w:tcW w:w="1843" w:type="dxa"/>
            <w:tcBorders>
              <w:top w:val="nil"/>
              <w:left w:val="nil"/>
              <w:bottom w:val="single" w:sz="4" w:space="0" w:color="auto"/>
              <w:right w:val="single" w:sz="4" w:space="0" w:color="auto"/>
            </w:tcBorders>
            <w:shd w:val="clear" w:color="auto" w:fill="auto"/>
            <w:noWrap/>
            <w:vAlign w:val="center"/>
            <w:hideMark/>
          </w:tcPr>
          <w:p w14:paraId="57863862" w14:textId="4566C6DF" w:rsidR="00850276" w:rsidRPr="005379F4" w:rsidRDefault="00850276" w:rsidP="005379F4">
            <w:pPr>
              <w:spacing w:before="120" w:after="120"/>
              <w:jc w:val="center"/>
              <w:rPr>
                <w:rFonts w:cs="Tahoma"/>
                <w:color w:val="000000"/>
                <w:szCs w:val="20"/>
              </w:rPr>
            </w:pPr>
            <w:r w:rsidRPr="005379F4">
              <w:rPr>
                <w:rFonts w:cs="Tahoma"/>
                <w:color w:val="000000"/>
              </w:rPr>
              <w:t>21%</w:t>
            </w:r>
          </w:p>
        </w:tc>
        <w:tc>
          <w:tcPr>
            <w:tcW w:w="2119" w:type="dxa"/>
            <w:tcBorders>
              <w:top w:val="nil"/>
              <w:left w:val="nil"/>
              <w:bottom w:val="single" w:sz="4" w:space="0" w:color="auto"/>
              <w:right w:val="single" w:sz="4" w:space="0" w:color="auto"/>
            </w:tcBorders>
            <w:shd w:val="clear" w:color="auto" w:fill="auto"/>
            <w:noWrap/>
            <w:vAlign w:val="center"/>
            <w:hideMark/>
          </w:tcPr>
          <w:p w14:paraId="532DE38A" w14:textId="70752C8E"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6B2C7B84"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84EAF02" w14:textId="700C30C1" w:rsidR="00850276" w:rsidRPr="005379F4" w:rsidRDefault="00850276" w:rsidP="005379F4">
            <w:pPr>
              <w:spacing w:before="120" w:after="120"/>
              <w:jc w:val="center"/>
              <w:rPr>
                <w:rFonts w:cs="Tahoma"/>
                <w:color w:val="000000"/>
                <w:szCs w:val="20"/>
              </w:rPr>
            </w:pPr>
            <w:r w:rsidRPr="005379F4">
              <w:rPr>
                <w:rFonts w:cs="Tahoma"/>
              </w:rPr>
              <w:t>15</w:t>
            </w:r>
          </w:p>
        </w:tc>
        <w:tc>
          <w:tcPr>
            <w:tcW w:w="1701" w:type="dxa"/>
            <w:tcBorders>
              <w:top w:val="nil"/>
              <w:left w:val="nil"/>
              <w:bottom w:val="single" w:sz="4" w:space="0" w:color="auto"/>
              <w:right w:val="single" w:sz="4" w:space="0" w:color="auto"/>
            </w:tcBorders>
            <w:shd w:val="clear" w:color="auto" w:fill="auto"/>
            <w:noWrap/>
            <w:vAlign w:val="center"/>
            <w:hideMark/>
          </w:tcPr>
          <w:p w14:paraId="7D9CC733" w14:textId="2D00C103"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0292E9E4" w14:textId="4A8A0AD5" w:rsidR="00850276" w:rsidRPr="005379F4" w:rsidRDefault="00850276" w:rsidP="005379F4">
            <w:pPr>
              <w:spacing w:before="120" w:after="120"/>
              <w:jc w:val="center"/>
              <w:rPr>
                <w:rFonts w:cs="Tahoma"/>
                <w:color w:val="000000"/>
                <w:szCs w:val="20"/>
              </w:rPr>
            </w:pPr>
            <w:r w:rsidRPr="005379F4">
              <w:rPr>
                <w:rFonts w:cs="Tahoma"/>
                <w:color w:val="000000"/>
              </w:rPr>
              <w:t>5%</w:t>
            </w:r>
          </w:p>
        </w:tc>
        <w:tc>
          <w:tcPr>
            <w:tcW w:w="1843" w:type="dxa"/>
            <w:tcBorders>
              <w:top w:val="nil"/>
              <w:left w:val="nil"/>
              <w:bottom w:val="single" w:sz="4" w:space="0" w:color="auto"/>
              <w:right w:val="single" w:sz="4" w:space="0" w:color="auto"/>
            </w:tcBorders>
            <w:shd w:val="clear" w:color="auto" w:fill="auto"/>
            <w:noWrap/>
            <w:vAlign w:val="center"/>
            <w:hideMark/>
          </w:tcPr>
          <w:p w14:paraId="592374C4" w14:textId="059CBE0C" w:rsidR="00850276" w:rsidRPr="005379F4" w:rsidRDefault="00850276" w:rsidP="005379F4">
            <w:pPr>
              <w:spacing w:before="120" w:after="120"/>
              <w:jc w:val="center"/>
              <w:rPr>
                <w:rFonts w:cs="Tahoma"/>
                <w:color w:val="000000"/>
                <w:szCs w:val="20"/>
              </w:rPr>
            </w:pPr>
            <w:r w:rsidRPr="005379F4">
              <w:rPr>
                <w:rFonts w:cs="Tahoma"/>
                <w:color w:val="000000"/>
              </w:rPr>
              <w:t>20%</w:t>
            </w:r>
          </w:p>
        </w:tc>
        <w:tc>
          <w:tcPr>
            <w:tcW w:w="2119" w:type="dxa"/>
            <w:tcBorders>
              <w:top w:val="nil"/>
              <w:left w:val="nil"/>
              <w:bottom w:val="single" w:sz="4" w:space="0" w:color="auto"/>
              <w:right w:val="single" w:sz="4" w:space="0" w:color="auto"/>
            </w:tcBorders>
            <w:shd w:val="clear" w:color="auto" w:fill="auto"/>
            <w:noWrap/>
            <w:vAlign w:val="center"/>
            <w:hideMark/>
          </w:tcPr>
          <w:p w14:paraId="4043721A" w14:textId="75DC345B"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0C8B12D6"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48B5E35" w14:textId="780A8773" w:rsidR="00850276" w:rsidRPr="005379F4" w:rsidRDefault="00850276" w:rsidP="005379F4">
            <w:pPr>
              <w:spacing w:before="120" w:after="120"/>
              <w:jc w:val="center"/>
              <w:rPr>
                <w:rFonts w:cs="Tahoma"/>
                <w:color w:val="000000"/>
                <w:szCs w:val="20"/>
              </w:rPr>
            </w:pPr>
            <w:r w:rsidRPr="005379F4">
              <w:rPr>
                <w:rFonts w:cs="Tahoma"/>
              </w:rPr>
              <w:t>14</w:t>
            </w:r>
          </w:p>
        </w:tc>
        <w:tc>
          <w:tcPr>
            <w:tcW w:w="1701" w:type="dxa"/>
            <w:tcBorders>
              <w:top w:val="nil"/>
              <w:left w:val="nil"/>
              <w:bottom w:val="single" w:sz="4" w:space="0" w:color="auto"/>
              <w:right w:val="single" w:sz="4" w:space="0" w:color="auto"/>
            </w:tcBorders>
            <w:shd w:val="clear" w:color="auto" w:fill="auto"/>
            <w:noWrap/>
            <w:vAlign w:val="center"/>
            <w:hideMark/>
          </w:tcPr>
          <w:p w14:paraId="11A9D66C" w14:textId="4D7EA6D9"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3B93A56E" w14:textId="67AE4A03" w:rsidR="00850276" w:rsidRPr="005379F4" w:rsidRDefault="00850276" w:rsidP="005379F4">
            <w:pPr>
              <w:spacing w:before="120" w:after="120"/>
              <w:jc w:val="center"/>
              <w:rPr>
                <w:rFonts w:cs="Tahoma"/>
                <w:color w:val="000000"/>
                <w:szCs w:val="20"/>
              </w:rPr>
            </w:pPr>
            <w:r w:rsidRPr="005379F4">
              <w:rPr>
                <w:rFonts w:cs="Tahoma"/>
                <w:color w:val="000000"/>
              </w:rPr>
              <w:t>6%</w:t>
            </w:r>
          </w:p>
        </w:tc>
        <w:tc>
          <w:tcPr>
            <w:tcW w:w="1843" w:type="dxa"/>
            <w:tcBorders>
              <w:top w:val="nil"/>
              <w:left w:val="nil"/>
              <w:bottom w:val="single" w:sz="4" w:space="0" w:color="auto"/>
              <w:right w:val="single" w:sz="4" w:space="0" w:color="auto"/>
            </w:tcBorders>
            <w:shd w:val="clear" w:color="auto" w:fill="auto"/>
            <w:noWrap/>
            <w:vAlign w:val="center"/>
            <w:hideMark/>
          </w:tcPr>
          <w:p w14:paraId="2A3E4FA5" w14:textId="339908B1" w:rsidR="00850276" w:rsidRPr="005379F4" w:rsidRDefault="00850276" w:rsidP="005379F4">
            <w:pPr>
              <w:spacing w:before="120" w:after="120"/>
              <w:jc w:val="center"/>
              <w:rPr>
                <w:rFonts w:cs="Tahoma"/>
                <w:color w:val="000000"/>
                <w:szCs w:val="20"/>
              </w:rPr>
            </w:pPr>
            <w:r w:rsidRPr="005379F4">
              <w:rPr>
                <w:rFonts w:cs="Tahoma"/>
                <w:color w:val="000000"/>
              </w:rPr>
              <w:t>19%</w:t>
            </w:r>
          </w:p>
        </w:tc>
        <w:tc>
          <w:tcPr>
            <w:tcW w:w="2119" w:type="dxa"/>
            <w:tcBorders>
              <w:top w:val="nil"/>
              <w:left w:val="nil"/>
              <w:bottom w:val="single" w:sz="4" w:space="0" w:color="auto"/>
              <w:right w:val="single" w:sz="4" w:space="0" w:color="auto"/>
            </w:tcBorders>
            <w:shd w:val="clear" w:color="auto" w:fill="auto"/>
            <w:noWrap/>
            <w:vAlign w:val="center"/>
            <w:hideMark/>
          </w:tcPr>
          <w:p w14:paraId="338228E3" w14:textId="4786F50D"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79202B6C"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E5E4780" w14:textId="30ADFF35" w:rsidR="00850276" w:rsidRPr="005379F4" w:rsidRDefault="00850276" w:rsidP="005379F4">
            <w:pPr>
              <w:spacing w:before="120" w:after="120"/>
              <w:jc w:val="center"/>
              <w:rPr>
                <w:rFonts w:cs="Tahoma"/>
                <w:color w:val="000000"/>
                <w:szCs w:val="20"/>
              </w:rPr>
            </w:pPr>
            <w:r w:rsidRPr="005379F4">
              <w:rPr>
                <w:rFonts w:cs="Tahoma"/>
              </w:rPr>
              <w:t>13</w:t>
            </w:r>
          </w:p>
        </w:tc>
        <w:tc>
          <w:tcPr>
            <w:tcW w:w="1701" w:type="dxa"/>
            <w:tcBorders>
              <w:top w:val="nil"/>
              <w:left w:val="nil"/>
              <w:bottom w:val="single" w:sz="4" w:space="0" w:color="auto"/>
              <w:right w:val="single" w:sz="4" w:space="0" w:color="auto"/>
            </w:tcBorders>
            <w:shd w:val="clear" w:color="auto" w:fill="auto"/>
            <w:noWrap/>
            <w:vAlign w:val="center"/>
            <w:hideMark/>
          </w:tcPr>
          <w:p w14:paraId="11E9D657" w14:textId="383D4383"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52D07D1A" w14:textId="2649C851" w:rsidR="00850276" w:rsidRPr="005379F4" w:rsidRDefault="00850276" w:rsidP="005379F4">
            <w:pPr>
              <w:spacing w:before="120" w:after="120"/>
              <w:jc w:val="center"/>
              <w:rPr>
                <w:rFonts w:cs="Tahoma"/>
                <w:color w:val="000000"/>
                <w:szCs w:val="20"/>
              </w:rPr>
            </w:pPr>
            <w:r w:rsidRPr="005379F4">
              <w:rPr>
                <w:rFonts w:cs="Tahoma"/>
                <w:color w:val="000000"/>
              </w:rPr>
              <w:t>7%</w:t>
            </w:r>
          </w:p>
        </w:tc>
        <w:tc>
          <w:tcPr>
            <w:tcW w:w="1843" w:type="dxa"/>
            <w:tcBorders>
              <w:top w:val="nil"/>
              <w:left w:val="nil"/>
              <w:bottom w:val="single" w:sz="4" w:space="0" w:color="auto"/>
              <w:right w:val="single" w:sz="4" w:space="0" w:color="auto"/>
            </w:tcBorders>
            <w:shd w:val="clear" w:color="auto" w:fill="auto"/>
            <w:noWrap/>
            <w:vAlign w:val="center"/>
            <w:hideMark/>
          </w:tcPr>
          <w:p w14:paraId="235C42D0" w14:textId="686BDD97" w:rsidR="00850276" w:rsidRPr="005379F4" w:rsidRDefault="00850276" w:rsidP="005379F4">
            <w:pPr>
              <w:spacing w:before="120" w:after="120"/>
              <w:jc w:val="center"/>
              <w:rPr>
                <w:rFonts w:cs="Tahoma"/>
                <w:color w:val="000000"/>
                <w:szCs w:val="20"/>
              </w:rPr>
            </w:pPr>
            <w:r w:rsidRPr="005379F4">
              <w:rPr>
                <w:rFonts w:cs="Tahoma"/>
                <w:color w:val="000000"/>
              </w:rPr>
              <w:t>18%</w:t>
            </w:r>
          </w:p>
        </w:tc>
        <w:tc>
          <w:tcPr>
            <w:tcW w:w="2119" w:type="dxa"/>
            <w:tcBorders>
              <w:top w:val="nil"/>
              <w:left w:val="nil"/>
              <w:bottom w:val="single" w:sz="4" w:space="0" w:color="auto"/>
              <w:right w:val="single" w:sz="4" w:space="0" w:color="auto"/>
            </w:tcBorders>
            <w:shd w:val="clear" w:color="auto" w:fill="auto"/>
            <w:noWrap/>
            <w:vAlign w:val="center"/>
            <w:hideMark/>
          </w:tcPr>
          <w:p w14:paraId="257BDC69" w14:textId="3FBDB5C8"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0F831D0E"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22ED2EE" w14:textId="71E636D6" w:rsidR="00850276" w:rsidRPr="005379F4" w:rsidRDefault="00850276" w:rsidP="005379F4">
            <w:pPr>
              <w:spacing w:before="120" w:after="120"/>
              <w:jc w:val="center"/>
              <w:rPr>
                <w:rFonts w:cs="Tahoma"/>
                <w:color w:val="000000"/>
                <w:szCs w:val="20"/>
              </w:rPr>
            </w:pPr>
            <w:r w:rsidRPr="005379F4">
              <w:rPr>
                <w:rFonts w:cs="Tahoma"/>
              </w:rPr>
              <w:t>12</w:t>
            </w:r>
          </w:p>
        </w:tc>
        <w:tc>
          <w:tcPr>
            <w:tcW w:w="1701" w:type="dxa"/>
            <w:tcBorders>
              <w:top w:val="nil"/>
              <w:left w:val="nil"/>
              <w:bottom w:val="single" w:sz="4" w:space="0" w:color="auto"/>
              <w:right w:val="single" w:sz="4" w:space="0" w:color="auto"/>
            </w:tcBorders>
            <w:shd w:val="clear" w:color="auto" w:fill="auto"/>
            <w:noWrap/>
            <w:vAlign w:val="center"/>
            <w:hideMark/>
          </w:tcPr>
          <w:p w14:paraId="395EE8AD" w14:textId="79268F8C"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09110420" w14:textId="4ADB9E0A" w:rsidR="00850276" w:rsidRPr="005379F4" w:rsidRDefault="00850276" w:rsidP="005379F4">
            <w:pPr>
              <w:spacing w:before="120" w:after="120"/>
              <w:jc w:val="center"/>
              <w:rPr>
                <w:rFonts w:cs="Tahoma"/>
                <w:color w:val="000000"/>
                <w:szCs w:val="20"/>
              </w:rPr>
            </w:pPr>
            <w:r w:rsidRPr="005379F4">
              <w:rPr>
                <w:rFonts w:cs="Tahoma"/>
                <w:color w:val="000000"/>
              </w:rPr>
              <w:t>8%</w:t>
            </w:r>
          </w:p>
        </w:tc>
        <w:tc>
          <w:tcPr>
            <w:tcW w:w="1843" w:type="dxa"/>
            <w:tcBorders>
              <w:top w:val="nil"/>
              <w:left w:val="nil"/>
              <w:bottom w:val="single" w:sz="4" w:space="0" w:color="auto"/>
              <w:right w:val="single" w:sz="4" w:space="0" w:color="auto"/>
            </w:tcBorders>
            <w:shd w:val="clear" w:color="auto" w:fill="auto"/>
            <w:noWrap/>
            <w:vAlign w:val="center"/>
            <w:hideMark/>
          </w:tcPr>
          <w:p w14:paraId="6CD7F9D8" w14:textId="5E3B6422" w:rsidR="00850276" w:rsidRPr="005379F4" w:rsidRDefault="00850276" w:rsidP="005379F4">
            <w:pPr>
              <w:spacing w:before="120" w:after="120"/>
              <w:jc w:val="center"/>
              <w:rPr>
                <w:rFonts w:cs="Tahoma"/>
                <w:color w:val="000000"/>
                <w:szCs w:val="20"/>
              </w:rPr>
            </w:pPr>
            <w:r w:rsidRPr="005379F4">
              <w:rPr>
                <w:rFonts w:cs="Tahoma"/>
                <w:color w:val="000000"/>
              </w:rPr>
              <w:t>17%</w:t>
            </w:r>
          </w:p>
        </w:tc>
        <w:tc>
          <w:tcPr>
            <w:tcW w:w="2119" w:type="dxa"/>
            <w:tcBorders>
              <w:top w:val="nil"/>
              <w:left w:val="nil"/>
              <w:bottom w:val="single" w:sz="4" w:space="0" w:color="auto"/>
              <w:right w:val="single" w:sz="4" w:space="0" w:color="auto"/>
            </w:tcBorders>
            <w:shd w:val="clear" w:color="auto" w:fill="auto"/>
            <w:noWrap/>
            <w:vAlign w:val="center"/>
            <w:hideMark/>
          </w:tcPr>
          <w:p w14:paraId="3498B27B" w14:textId="0F954DF6"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69E2D2A1"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3FE6286" w14:textId="542E3CB4" w:rsidR="00850276" w:rsidRPr="005379F4" w:rsidRDefault="00850276" w:rsidP="005379F4">
            <w:pPr>
              <w:spacing w:before="120" w:after="120"/>
              <w:jc w:val="center"/>
              <w:rPr>
                <w:rFonts w:cs="Tahoma"/>
                <w:color w:val="000000"/>
                <w:szCs w:val="20"/>
              </w:rPr>
            </w:pPr>
            <w:r w:rsidRPr="005379F4">
              <w:rPr>
                <w:rFonts w:cs="Tahoma"/>
              </w:rPr>
              <w:t>11</w:t>
            </w:r>
          </w:p>
        </w:tc>
        <w:tc>
          <w:tcPr>
            <w:tcW w:w="1701" w:type="dxa"/>
            <w:tcBorders>
              <w:top w:val="nil"/>
              <w:left w:val="nil"/>
              <w:bottom w:val="single" w:sz="4" w:space="0" w:color="auto"/>
              <w:right w:val="single" w:sz="4" w:space="0" w:color="auto"/>
            </w:tcBorders>
            <w:shd w:val="clear" w:color="auto" w:fill="auto"/>
            <w:noWrap/>
            <w:vAlign w:val="center"/>
            <w:hideMark/>
          </w:tcPr>
          <w:p w14:paraId="4116909C" w14:textId="438973A5"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19B69A06" w14:textId="5A6CB134" w:rsidR="00850276" w:rsidRPr="005379F4" w:rsidRDefault="00850276" w:rsidP="005379F4">
            <w:pPr>
              <w:spacing w:before="120" w:after="120"/>
              <w:jc w:val="center"/>
              <w:rPr>
                <w:rFonts w:cs="Tahoma"/>
                <w:color w:val="000000"/>
                <w:szCs w:val="20"/>
              </w:rPr>
            </w:pPr>
            <w:r w:rsidRPr="005379F4">
              <w:rPr>
                <w:rFonts w:cs="Tahoma"/>
                <w:color w:val="000000"/>
              </w:rPr>
              <w:t>9%</w:t>
            </w:r>
          </w:p>
        </w:tc>
        <w:tc>
          <w:tcPr>
            <w:tcW w:w="1843" w:type="dxa"/>
            <w:tcBorders>
              <w:top w:val="nil"/>
              <w:left w:val="nil"/>
              <w:bottom w:val="single" w:sz="4" w:space="0" w:color="auto"/>
              <w:right w:val="single" w:sz="4" w:space="0" w:color="auto"/>
            </w:tcBorders>
            <w:shd w:val="clear" w:color="auto" w:fill="auto"/>
            <w:noWrap/>
            <w:vAlign w:val="center"/>
            <w:hideMark/>
          </w:tcPr>
          <w:p w14:paraId="0D3F9A7F" w14:textId="535432F2" w:rsidR="00850276" w:rsidRPr="005379F4" w:rsidRDefault="00850276" w:rsidP="005379F4">
            <w:pPr>
              <w:spacing w:before="120" w:after="120"/>
              <w:jc w:val="center"/>
              <w:rPr>
                <w:rFonts w:cs="Tahoma"/>
                <w:color w:val="000000"/>
                <w:szCs w:val="20"/>
              </w:rPr>
            </w:pPr>
            <w:r w:rsidRPr="005379F4">
              <w:rPr>
                <w:rFonts w:cs="Tahoma"/>
                <w:color w:val="000000"/>
              </w:rPr>
              <w:t>16%</w:t>
            </w:r>
          </w:p>
        </w:tc>
        <w:tc>
          <w:tcPr>
            <w:tcW w:w="2119" w:type="dxa"/>
            <w:tcBorders>
              <w:top w:val="nil"/>
              <w:left w:val="nil"/>
              <w:bottom w:val="single" w:sz="4" w:space="0" w:color="auto"/>
              <w:right w:val="single" w:sz="4" w:space="0" w:color="auto"/>
            </w:tcBorders>
            <w:shd w:val="clear" w:color="auto" w:fill="auto"/>
            <w:noWrap/>
            <w:vAlign w:val="center"/>
            <w:hideMark/>
          </w:tcPr>
          <w:p w14:paraId="5C16A418" w14:textId="28D35A1E"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186EFAE0"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DB75A22" w14:textId="6213799C" w:rsidR="00850276" w:rsidRPr="005379F4" w:rsidRDefault="00850276" w:rsidP="005379F4">
            <w:pPr>
              <w:spacing w:before="120" w:after="120"/>
              <w:jc w:val="center"/>
              <w:rPr>
                <w:rFonts w:cs="Tahoma"/>
                <w:color w:val="000000"/>
                <w:szCs w:val="20"/>
              </w:rPr>
            </w:pPr>
            <w:r w:rsidRPr="005379F4">
              <w:rPr>
                <w:rFonts w:cs="Tahoma"/>
              </w:rPr>
              <w:t>10</w:t>
            </w:r>
          </w:p>
        </w:tc>
        <w:tc>
          <w:tcPr>
            <w:tcW w:w="1701" w:type="dxa"/>
            <w:tcBorders>
              <w:top w:val="nil"/>
              <w:left w:val="nil"/>
              <w:bottom w:val="single" w:sz="4" w:space="0" w:color="auto"/>
              <w:right w:val="single" w:sz="4" w:space="0" w:color="auto"/>
            </w:tcBorders>
            <w:shd w:val="clear" w:color="auto" w:fill="auto"/>
            <w:noWrap/>
            <w:vAlign w:val="center"/>
            <w:hideMark/>
          </w:tcPr>
          <w:p w14:paraId="3E09968E" w14:textId="3D5D6F33" w:rsidR="00850276" w:rsidRPr="005379F4" w:rsidRDefault="00850276" w:rsidP="005379F4">
            <w:pPr>
              <w:spacing w:before="120" w:after="120"/>
              <w:jc w:val="center"/>
              <w:rPr>
                <w:rFonts w:cs="Tahoma"/>
                <w:color w:val="000000"/>
                <w:szCs w:val="20"/>
              </w:rPr>
            </w:pPr>
            <w:r w:rsidRPr="005379F4">
              <w:rPr>
                <w:rFonts w:cs="Tahoma"/>
                <w:color w:val="000000"/>
              </w:rPr>
              <w:t>75%</w:t>
            </w:r>
          </w:p>
        </w:tc>
        <w:tc>
          <w:tcPr>
            <w:tcW w:w="1985" w:type="dxa"/>
            <w:tcBorders>
              <w:top w:val="nil"/>
              <w:left w:val="nil"/>
              <w:bottom w:val="single" w:sz="4" w:space="0" w:color="auto"/>
              <w:right w:val="single" w:sz="4" w:space="0" w:color="auto"/>
            </w:tcBorders>
            <w:shd w:val="clear" w:color="auto" w:fill="auto"/>
            <w:noWrap/>
            <w:vAlign w:val="center"/>
            <w:hideMark/>
          </w:tcPr>
          <w:p w14:paraId="10E19503" w14:textId="762E1937" w:rsidR="00850276" w:rsidRPr="005379F4" w:rsidRDefault="00850276" w:rsidP="005379F4">
            <w:pPr>
              <w:spacing w:before="120" w:after="120"/>
              <w:jc w:val="center"/>
              <w:rPr>
                <w:rFonts w:cs="Tahoma"/>
                <w:color w:val="000000"/>
                <w:szCs w:val="20"/>
              </w:rPr>
            </w:pPr>
            <w:r w:rsidRPr="005379F4">
              <w:rPr>
                <w:rFonts w:cs="Tahoma"/>
                <w:color w:val="000000"/>
              </w:rPr>
              <w:t>10%</w:t>
            </w:r>
          </w:p>
        </w:tc>
        <w:tc>
          <w:tcPr>
            <w:tcW w:w="1843" w:type="dxa"/>
            <w:tcBorders>
              <w:top w:val="nil"/>
              <w:left w:val="nil"/>
              <w:bottom w:val="single" w:sz="4" w:space="0" w:color="auto"/>
              <w:right w:val="single" w:sz="4" w:space="0" w:color="auto"/>
            </w:tcBorders>
            <w:shd w:val="clear" w:color="auto" w:fill="auto"/>
            <w:noWrap/>
            <w:vAlign w:val="center"/>
            <w:hideMark/>
          </w:tcPr>
          <w:p w14:paraId="391E5C3F" w14:textId="10951B9F" w:rsidR="00850276" w:rsidRPr="005379F4" w:rsidRDefault="00850276" w:rsidP="005379F4">
            <w:pPr>
              <w:spacing w:before="120" w:after="120"/>
              <w:jc w:val="center"/>
              <w:rPr>
                <w:rFonts w:cs="Tahoma"/>
                <w:color w:val="000000"/>
                <w:szCs w:val="20"/>
              </w:rPr>
            </w:pPr>
            <w:r w:rsidRPr="005379F4">
              <w:rPr>
                <w:rFonts w:cs="Tahoma"/>
                <w:color w:val="000000"/>
              </w:rPr>
              <w:t>15%</w:t>
            </w:r>
          </w:p>
        </w:tc>
        <w:tc>
          <w:tcPr>
            <w:tcW w:w="2119" w:type="dxa"/>
            <w:tcBorders>
              <w:top w:val="nil"/>
              <w:left w:val="nil"/>
              <w:bottom w:val="single" w:sz="4" w:space="0" w:color="auto"/>
              <w:right w:val="single" w:sz="4" w:space="0" w:color="auto"/>
            </w:tcBorders>
            <w:shd w:val="clear" w:color="auto" w:fill="auto"/>
            <w:noWrap/>
            <w:vAlign w:val="center"/>
            <w:hideMark/>
          </w:tcPr>
          <w:p w14:paraId="5CC5B3A7" w14:textId="2207581A" w:rsidR="00850276" w:rsidRPr="005379F4" w:rsidRDefault="00850276" w:rsidP="005379F4">
            <w:pPr>
              <w:spacing w:before="120" w:after="120"/>
              <w:jc w:val="center"/>
              <w:rPr>
                <w:rFonts w:cs="Tahoma"/>
                <w:color w:val="000000"/>
                <w:szCs w:val="20"/>
              </w:rPr>
            </w:pPr>
            <w:r w:rsidRPr="005379F4">
              <w:rPr>
                <w:rFonts w:cs="Tahoma"/>
                <w:color w:val="000000"/>
              </w:rPr>
              <w:t>0%</w:t>
            </w:r>
          </w:p>
        </w:tc>
      </w:tr>
      <w:tr w:rsidR="00850276" w:rsidRPr="005379F4" w14:paraId="5C0E9682"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49B28D5" w14:textId="041F3CC1" w:rsidR="00850276" w:rsidRPr="005379F4" w:rsidRDefault="00850276" w:rsidP="005379F4">
            <w:pPr>
              <w:spacing w:before="120" w:after="120"/>
              <w:jc w:val="center"/>
              <w:rPr>
                <w:rFonts w:cs="Tahoma"/>
                <w:color w:val="000000"/>
                <w:szCs w:val="20"/>
              </w:rPr>
            </w:pPr>
            <w:r w:rsidRPr="005379F4">
              <w:rPr>
                <w:rFonts w:cs="Tahoma"/>
              </w:rPr>
              <w:t>9</w:t>
            </w:r>
          </w:p>
        </w:tc>
        <w:tc>
          <w:tcPr>
            <w:tcW w:w="1701" w:type="dxa"/>
            <w:tcBorders>
              <w:top w:val="nil"/>
              <w:left w:val="nil"/>
              <w:bottom w:val="single" w:sz="4" w:space="0" w:color="auto"/>
              <w:right w:val="single" w:sz="4" w:space="0" w:color="auto"/>
            </w:tcBorders>
            <w:shd w:val="clear" w:color="auto" w:fill="auto"/>
            <w:noWrap/>
            <w:vAlign w:val="center"/>
            <w:hideMark/>
          </w:tcPr>
          <w:p w14:paraId="7F7A5BD3" w14:textId="35943C1A" w:rsidR="00850276" w:rsidRPr="005379F4" w:rsidRDefault="00850276" w:rsidP="005379F4">
            <w:pPr>
              <w:spacing w:before="120" w:after="120"/>
              <w:jc w:val="center"/>
              <w:rPr>
                <w:rFonts w:cs="Tahoma"/>
                <w:color w:val="000000"/>
                <w:szCs w:val="20"/>
              </w:rPr>
            </w:pPr>
            <w:r w:rsidRPr="005379F4">
              <w:rPr>
                <w:rFonts w:cs="Tahoma"/>
                <w:color w:val="000000"/>
              </w:rPr>
              <w:t>68%</w:t>
            </w:r>
          </w:p>
        </w:tc>
        <w:tc>
          <w:tcPr>
            <w:tcW w:w="1985" w:type="dxa"/>
            <w:tcBorders>
              <w:top w:val="nil"/>
              <w:left w:val="nil"/>
              <w:bottom w:val="single" w:sz="4" w:space="0" w:color="auto"/>
              <w:right w:val="single" w:sz="4" w:space="0" w:color="auto"/>
            </w:tcBorders>
            <w:shd w:val="clear" w:color="auto" w:fill="auto"/>
            <w:noWrap/>
            <w:vAlign w:val="center"/>
            <w:hideMark/>
          </w:tcPr>
          <w:p w14:paraId="1421B5F3" w14:textId="3044F791" w:rsidR="00850276" w:rsidRPr="005379F4" w:rsidRDefault="00850276" w:rsidP="005379F4">
            <w:pPr>
              <w:spacing w:before="120" w:after="120"/>
              <w:jc w:val="center"/>
              <w:rPr>
                <w:rFonts w:cs="Tahoma"/>
                <w:color w:val="000000"/>
                <w:szCs w:val="20"/>
              </w:rPr>
            </w:pPr>
            <w:r w:rsidRPr="005379F4">
              <w:rPr>
                <w:rFonts w:cs="Tahoma"/>
                <w:color w:val="000000"/>
              </w:rPr>
              <w:t>11%</w:t>
            </w:r>
          </w:p>
        </w:tc>
        <w:tc>
          <w:tcPr>
            <w:tcW w:w="1843" w:type="dxa"/>
            <w:tcBorders>
              <w:top w:val="nil"/>
              <w:left w:val="nil"/>
              <w:bottom w:val="single" w:sz="4" w:space="0" w:color="auto"/>
              <w:right w:val="single" w:sz="4" w:space="0" w:color="auto"/>
            </w:tcBorders>
            <w:shd w:val="clear" w:color="auto" w:fill="auto"/>
            <w:noWrap/>
            <w:vAlign w:val="center"/>
            <w:hideMark/>
          </w:tcPr>
          <w:p w14:paraId="6C4DEE56" w14:textId="2FB3C8F3" w:rsidR="00850276" w:rsidRPr="005379F4" w:rsidRDefault="00850276" w:rsidP="005379F4">
            <w:pPr>
              <w:spacing w:before="120" w:after="120"/>
              <w:jc w:val="center"/>
              <w:rPr>
                <w:rFonts w:cs="Tahoma"/>
                <w:color w:val="000000"/>
                <w:szCs w:val="20"/>
              </w:rPr>
            </w:pPr>
            <w:r w:rsidRPr="005379F4">
              <w:rPr>
                <w:rFonts w:cs="Tahoma"/>
                <w:color w:val="000000"/>
              </w:rPr>
              <w:t>14%</w:t>
            </w:r>
          </w:p>
        </w:tc>
        <w:tc>
          <w:tcPr>
            <w:tcW w:w="2119" w:type="dxa"/>
            <w:tcBorders>
              <w:top w:val="nil"/>
              <w:left w:val="nil"/>
              <w:bottom w:val="single" w:sz="4" w:space="0" w:color="auto"/>
              <w:right w:val="single" w:sz="4" w:space="0" w:color="auto"/>
            </w:tcBorders>
            <w:shd w:val="clear" w:color="auto" w:fill="auto"/>
            <w:noWrap/>
            <w:vAlign w:val="center"/>
            <w:hideMark/>
          </w:tcPr>
          <w:p w14:paraId="04BD48E4" w14:textId="30134CC6" w:rsidR="00850276" w:rsidRPr="005379F4" w:rsidRDefault="00850276" w:rsidP="005379F4">
            <w:pPr>
              <w:spacing w:before="120" w:after="120"/>
              <w:jc w:val="center"/>
              <w:rPr>
                <w:rFonts w:cs="Tahoma"/>
                <w:color w:val="000000"/>
                <w:szCs w:val="20"/>
              </w:rPr>
            </w:pPr>
            <w:r w:rsidRPr="005379F4">
              <w:rPr>
                <w:rFonts w:cs="Tahoma"/>
                <w:color w:val="000000"/>
              </w:rPr>
              <w:t>8%</w:t>
            </w:r>
          </w:p>
        </w:tc>
      </w:tr>
      <w:tr w:rsidR="00850276" w:rsidRPr="005379F4" w14:paraId="604A901E"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6B0CDBF" w14:textId="33D7123F" w:rsidR="00850276" w:rsidRPr="005379F4" w:rsidRDefault="00850276" w:rsidP="005379F4">
            <w:pPr>
              <w:spacing w:before="120" w:after="120"/>
              <w:jc w:val="center"/>
              <w:rPr>
                <w:rFonts w:cs="Tahoma"/>
                <w:color w:val="000000"/>
                <w:szCs w:val="20"/>
              </w:rPr>
            </w:pPr>
            <w:r w:rsidRPr="005379F4">
              <w:rPr>
                <w:rFonts w:cs="Tahoma"/>
              </w:rPr>
              <w:t>8</w:t>
            </w:r>
          </w:p>
        </w:tc>
        <w:tc>
          <w:tcPr>
            <w:tcW w:w="1701" w:type="dxa"/>
            <w:tcBorders>
              <w:top w:val="nil"/>
              <w:left w:val="nil"/>
              <w:bottom w:val="single" w:sz="4" w:space="0" w:color="auto"/>
              <w:right w:val="single" w:sz="4" w:space="0" w:color="auto"/>
            </w:tcBorders>
            <w:shd w:val="clear" w:color="auto" w:fill="auto"/>
            <w:noWrap/>
            <w:vAlign w:val="center"/>
            <w:hideMark/>
          </w:tcPr>
          <w:p w14:paraId="37D1EE08" w14:textId="7A1945B2" w:rsidR="00850276" w:rsidRPr="005379F4" w:rsidRDefault="00850276" w:rsidP="005379F4">
            <w:pPr>
              <w:spacing w:before="120" w:after="120"/>
              <w:jc w:val="center"/>
              <w:rPr>
                <w:rFonts w:cs="Tahoma"/>
                <w:color w:val="000000"/>
                <w:szCs w:val="20"/>
              </w:rPr>
            </w:pPr>
            <w:r w:rsidRPr="005379F4">
              <w:rPr>
                <w:rFonts w:cs="Tahoma"/>
                <w:color w:val="000000"/>
              </w:rPr>
              <w:t>60%</w:t>
            </w:r>
          </w:p>
        </w:tc>
        <w:tc>
          <w:tcPr>
            <w:tcW w:w="1985" w:type="dxa"/>
            <w:tcBorders>
              <w:top w:val="nil"/>
              <w:left w:val="nil"/>
              <w:bottom w:val="single" w:sz="4" w:space="0" w:color="auto"/>
              <w:right w:val="single" w:sz="4" w:space="0" w:color="auto"/>
            </w:tcBorders>
            <w:shd w:val="clear" w:color="auto" w:fill="auto"/>
            <w:noWrap/>
            <w:vAlign w:val="center"/>
            <w:hideMark/>
          </w:tcPr>
          <w:p w14:paraId="0BA573FD" w14:textId="59FC6105" w:rsidR="00850276" w:rsidRPr="005379F4" w:rsidRDefault="00850276" w:rsidP="005379F4">
            <w:pPr>
              <w:spacing w:before="120" w:after="120"/>
              <w:jc w:val="center"/>
              <w:rPr>
                <w:rFonts w:cs="Tahoma"/>
                <w:color w:val="000000"/>
                <w:szCs w:val="20"/>
              </w:rPr>
            </w:pPr>
            <w:r w:rsidRPr="005379F4">
              <w:rPr>
                <w:rFonts w:cs="Tahoma"/>
                <w:color w:val="000000"/>
              </w:rPr>
              <w:t>12%</w:t>
            </w:r>
          </w:p>
        </w:tc>
        <w:tc>
          <w:tcPr>
            <w:tcW w:w="1843" w:type="dxa"/>
            <w:tcBorders>
              <w:top w:val="nil"/>
              <w:left w:val="nil"/>
              <w:bottom w:val="single" w:sz="4" w:space="0" w:color="auto"/>
              <w:right w:val="single" w:sz="4" w:space="0" w:color="auto"/>
            </w:tcBorders>
            <w:shd w:val="clear" w:color="auto" w:fill="auto"/>
            <w:noWrap/>
            <w:vAlign w:val="center"/>
            <w:hideMark/>
          </w:tcPr>
          <w:p w14:paraId="655F6489" w14:textId="4E24561B" w:rsidR="00850276" w:rsidRPr="005379F4" w:rsidRDefault="00850276" w:rsidP="005379F4">
            <w:pPr>
              <w:spacing w:before="120" w:after="120"/>
              <w:jc w:val="center"/>
              <w:rPr>
                <w:rFonts w:cs="Tahoma"/>
                <w:color w:val="000000"/>
                <w:szCs w:val="20"/>
              </w:rPr>
            </w:pPr>
            <w:r w:rsidRPr="005379F4">
              <w:rPr>
                <w:rFonts w:cs="Tahoma"/>
                <w:color w:val="000000"/>
              </w:rPr>
              <w:t>13%</w:t>
            </w:r>
          </w:p>
        </w:tc>
        <w:tc>
          <w:tcPr>
            <w:tcW w:w="2119" w:type="dxa"/>
            <w:tcBorders>
              <w:top w:val="nil"/>
              <w:left w:val="nil"/>
              <w:bottom w:val="single" w:sz="4" w:space="0" w:color="auto"/>
              <w:right w:val="single" w:sz="4" w:space="0" w:color="auto"/>
            </w:tcBorders>
            <w:shd w:val="clear" w:color="auto" w:fill="auto"/>
            <w:noWrap/>
            <w:vAlign w:val="center"/>
            <w:hideMark/>
          </w:tcPr>
          <w:p w14:paraId="17A0BB61" w14:textId="4D3AA739" w:rsidR="00850276" w:rsidRPr="005379F4" w:rsidRDefault="00850276" w:rsidP="005379F4">
            <w:pPr>
              <w:spacing w:before="120" w:after="120"/>
              <w:jc w:val="center"/>
              <w:rPr>
                <w:rFonts w:cs="Tahoma"/>
                <w:color w:val="000000"/>
                <w:szCs w:val="20"/>
              </w:rPr>
            </w:pPr>
            <w:r w:rsidRPr="005379F4">
              <w:rPr>
                <w:rFonts w:cs="Tahoma"/>
                <w:color w:val="000000"/>
              </w:rPr>
              <w:t>15%</w:t>
            </w:r>
          </w:p>
        </w:tc>
      </w:tr>
      <w:tr w:rsidR="00850276" w:rsidRPr="005379F4" w14:paraId="4B7DA547"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787C669" w14:textId="2C590A40" w:rsidR="00850276" w:rsidRPr="005379F4" w:rsidRDefault="00850276" w:rsidP="005379F4">
            <w:pPr>
              <w:spacing w:before="120" w:after="120"/>
              <w:jc w:val="center"/>
              <w:rPr>
                <w:rFonts w:cs="Tahoma"/>
                <w:color w:val="000000"/>
                <w:szCs w:val="20"/>
              </w:rPr>
            </w:pPr>
            <w:r w:rsidRPr="005379F4">
              <w:rPr>
                <w:rFonts w:cs="Tahoma"/>
              </w:rPr>
              <w:t>7</w:t>
            </w:r>
          </w:p>
        </w:tc>
        <w:tc>
          <w:tcPr>
            <w:tcW w:w="1701" w:type="dxa"/>
            <w:tcBorders>
              <w:top w:val="nil"/>
              <w:left w:val="nil"/>
              <w:bottom w:val="single" w:sz="4" w:space="0" w:color="auto"/>
              <w:right w:val="single" w:sz="4" w:space="0" w:color="auto"/>
            </w:tcBorders>
            <w:shd w:val="clear" w:color="auto" w:fill="auto"/>
            <w:noWrap/>
            <w:vAlign w:val="center"/>
            <w:hideMark/>
          </w:tcPr>
          <w:p w14:paraId="1ED3791F" w14:textId="27CF62C4" w:rsidR="00850276" w:rsidRPr="005379F4" w:rsidRDefault="00850276" w:rsidP="005379F4">
            <w:pPr>
              <w:spacing w:before="120" w:after="120"/>
              <w:jc w:val="center"/>
              <w:rPr>
                <w:rFonts w:cs="Tahoma"/>
                <w:color w:val="000000"/>
                <w:szCs w:val="20"/>
              </w:rPr>
            </w:pPr>
            <w:r w:rsidRPr="005379F4">
              <w:rPr>
                <w:rFonts w:cs="Tahoma"/>
                <w:color w:val="000000"/>
              </w:rPr>
              <w:t>53%</w:t>
            </w:r>
          </w:p>
        </w:tc>
        <w:tc>
          <w:tcPr>
            <w:tcW w:w="1985" w:type="dxa"/>
            <w:tcBorders>
              <w:top w:val="nil"/>
              <w:left w:val="nil"/>
              <w:bottom w:val="single" w:sz="4" w:space="0" w:color="auto"/>
              <w:right w:val="single" w:sz="4" w:space="0" w:color="auto"/>
            </w:tcBorders>
            <w:shd w:val="clear" w:color="auto" w:fill="auto"/>
            <w:noWrap/>
            <w:vAlign w:val="center"/>
            <w:hideMark/>
          </w:tcPr>
          <w:p w14:paraId="31DA5EF9" w14:textId="37291444" w:rsidR="00850276" w:rsidRPr="005379F4" w:rsidRDefault="00850276" w:rsidP="005379F4">
            <w:pPr>
              <w:spacing w:before="120" w:after="120"/>
              <w:jc w:val="center"/>
              <w:rPr>
                <w:rFonts w:cs="Tahoma"/>
                <w:color w:val="000000"/>
                <w:szCs w:val="20"/>
              </w:rPr>
            </w:pPr>
            <w:r w:rsidRPr="005379F4">
              <w:rPr>
                <w:rFonts w:cs="Tahoma"/>
                <w:color w:val="000000"/>
              </w:rPr>
              <w:t>13%</w:t>
            </w:r>
          </w:p>
        </w:tc>
        <w:tc>
          <w:tcPr>
            <w:tcW w:w="1843" w:type="dxa"/>
            <w:tcBorders>
              <w:top w:val="nil"/>
              <w:left w:val="nil"/>
              <w:bottom w:val="single" w:sz="4" w:space="0" w:color="auto"/>
              <w:right w:val="single" w:sz="4" w:space="0" w:color="auto"/>
            </w:tcBorders>
            <w:shd w:val="clear" w:color="auto" w:fill="auto"/>
            <w:noWrap/>
            <w:vAlign w:val="center"/>
            <w:hideMark/>
          </w:tcPr>
          <w:p w14:paraId="217A3F97" w14:textId="6C96A0F3" w:rsidR="00850276" w:rsidRPr="005379F4" w:rsidRDefault="00850276" w:rsidP="005379F4">
            <w:pPr>
              <w:spacing w:before="120" w:after="120"/>
              <w:jc w:val="center"/>
              <w:rPr>
                <w:rFonts w:cs="Tahoma"/>
                <w:color w:val="000000"/>
                <w:szCs w:val="20"/>
              </w:rPr>
            </w:pPr>
            <w:r w:rsidRPr="005379F4">
              <w:rPr>
                <w:rFonts w:cs="Tahoma"/>
                <w:color w:val="000000"/>
              </w:rPr>
              <w:t>12%</w:t>
            </w:r>
          </w:p>
        </w:tc>
        <w:tc>
          <w:tcPr>
            <w:tcW w:w="2119" w:type="dxa"/>
            <w:tcBorders>
              <w:top w:val="nil"/>
              <w:left w:val="nil"/>
              <w:bottom w:val="single" w:sz="4" w:space="0" w:color="auto"/>
              <w:right w:val="single" w:sz="4" w:space="0" w:color="auto"/>
            </w:tcBorders>
            <w:shd w:val="clear" w:color="auto" w:fill="auto"/>
            <w:noWrap/>
            <w:vAlign w:val="center"/>
            <w:hideMark/>
          </w:tcPr>
          <w:p w14:paraId="69E6421E" w14:textId="27FBC4D0" w:rsidR="00850276" w:rsidRPr="005379F4" w:rsidRDefault="00850276" w:rsidP="005379F4">
            <w:pPr>
              <w:spacing w:before="120" w:after="120"/>
              <w:jc w:val="center"/>
              <w:rPr>
                <w:rFonts w:cs="Tahoma"/>
                <w:color w:val="000000"/>
                <w:szCs w:val="20"/>
              </w:rPr>
            </w:pPr>
            <w:r w:rsidRPr="005379F4">
              <w:rPr>
                <w:rFonts w:cs="Tahoma"/>
                <w:color w:val="000000"/>
              </w:rPr>
              <w:t>23%</w:t>
            </w:r>
          </w:p>
        </w:tc>
      </w:tr>
      <w:tr w:rsidR="00850276" w:rsidRPr="005379F4" w14:paraId="4EE828AC"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E3A72D5" w14:textId="4A765478" w:rsidR="00850276" w:rsidRPr="005379F4" w:rsidRDefault="00850276" w:rsidP="005379F4">
            <w:pPr>
              <w:spacing w:before="120" w:after="120"/>
              <w:jc w:val="center"/>
              <w:rPr>
                <w:rFonts w:cs="Tahoma"/>
                <w:color w:val="000000"/>
                <w:szCs w:val="20"/>
              </w:rPr>
            </w:pPr>
            <w:r w:rsidRPr="005379F4">
              <w:rPr>
                <w:rFonts w:cs="Tahoma"/>
              </w:rPr>
              <w:t>6</w:t>
            </w:r>
          </w:p>
        </w:tc>
        <w:tc>
          <w:tcPr>
            <w:tcW w:w="1701" w:type="dxa"/>
            <w:tcBorders>
              <w:top w:val="nil"/>
              <w:left w:val="nil"/>
              <w:bottom w:val="single" w:sz="4" w:space="0" w:color="auto"/>
              <w:right w:val="single" w:sz="4" w:space="0" w:color="auto"/>
            </w:tcBorders>
            <w:shd w:val="clear" w:color="auto" w:fill="auto"/>
            <w:noWrap/>
            <w:vAlign w:val="center"/>
            <w:hideMark/>
          </w:tcPr>
          <w:p w14:paraId="13541E4A" w14:textId="03641427" w:rsidR="00850276" w:rsidRPr="005379F4" w:rsidRDefault="00850276" w:rsidP="005379F4">
            <w:pPr>
              <w:spacing w:before="120" w:after="120"/>
              <w:jc w:val="center"/>
              <w:rPr>
                <w:rFonts w:cs="Tahoma"/>
                <w:color w:val="000000"/>
                <w:szCs w:val="20"/>
              </w:rPr>
            </w:pPr>
            <w:r w:rsidRPr="005379F4">
              <w:rPr>
                <w:rFonts w:cs="Tahoma"/>
                <w:color w:val="000000"/>
              </w:rPr>
              <w:t>45%</w:t>
            </w:r>
          </w:p>
        </w:tc>
        <w:tc>
          <w:tcPr>
            <w:tcW w:w="1985" w:type="dxa"/>
            <w:tcBorders>
              <w:top w:val="nil"/>
              <w:left w:val="nil"/>
              <w:bottom w:val="single" w:sz="4" w:space="0" w:color="auto"/>
              <w:right w:val="single" w:sz="4" w:space="0" w:color="auto"/>
            </w:tcBorders>
            <w:shd w:val="clear" w:color="auto" w:fill="auto"/>
            <w:noWrap/>
            <w:vAlign w:val="center"/>
            <w:hideMark/>
          </w:tcPr>
          <w:p w14:paraId="1D1AA63F" w14:textId="2C069127" w:rsidR="00850276" w:rsidRPr="005379F4" w:rsidRDefault="00850276" w:rsidP="005379F4">
            <w:pPr>
              <w:spacing w:before="120" w:after="120"/>
              <w:jc w:val="center"/>
              <w:rPr>
                <w:rFonts w:cs="Tahoma"/>
                <w:color w:val="000000"/>
                <w:szCs w:val="20"/>
              </w:rPr>
            </w:pPr>
            <w:r w:rsidRPr="005379F4">
              <w:rPr>
                <w:rFonts w:cs="Tahoma"/>
                <w:color w:val="000000"/>
              </w:rPr>
              <w:t>14%</w:t>
            </w:r>
          </w:p>
        </w:tc>
        <w:tc>
          <w:tcPr>
            <w:tcW w:w="1843" w:type="dxa"/>
            <w:tcBorders>
              <w:top w:val="nil"/>
              <w:left w:val="nil"/>
              <w:bottom w:val="single" w:sz="4" w:space="0" w:color="auto"/>
              <w:right w:val="single" w:sz="4" w:space="0" w:color="auto"/>
            </w:tcBorders>
            <w:shd w:val="clear" w:color="auto" w:fill="auto"/>
            <w:noWrap/>
            <w:vAlign w:val="center"/>
            <w:hideMark/>
          </w:tcPr>
          <w:p w14:paraId="22687C8E" w14:textId="4D3E3694" w:rsidR="00850276" w:rsidRPr="005379F4" w:rsidRDefault="00850276" w:rsidP="005379F4">
            <w:pPr>
              <w:spacing w:before="120" w:after="120"/>
              <w:jc w:val="center"/>
              <w:rPr>
                <w:rFonts w:cs="Tahoma"/>
                <w:color w:val="000000"/>
                <w:szCs w:val="20"/>
              </w:rPr>
            </w:pPr>
            <w:r w:rsidRPr="005379F4">
              <w:rPr>
                <w:rFonts w:cs="Tahoma"/>
                <w:color w:val="000000"/>
              </w:rPr>
              <w:t>11%</w:t>
            </w:r>
          </w:p>
        </w:tc>
        <w:tc>
          <w:tcPr>
            <w:tcW w:w="2119" w:type="dxa"/>
            <w:tcBorders>
              <w:top w:val="nil"/>
              <w:left w:val="nil"/>
              <w:bottom w:val="single" w:sz="4" w:space="0" w:color="auto"/>
              <w:right w:val="single" w:sz="4" w:space="0" w:color="auto"/>
            </w:tcBorders>
            <w:shd w:val="clear" w:color="auto" w:fill="auto"/>
            <w:noWrap/>
            <w:vAlign w:val="center"/>
            <w:hideMark/>
          </w:tcPr>
          <w:p w14:paraId="1D7F19DF" w14:textId="09C1944F" w:rsidR="00850276" w:rsidRPr="005379F4" w:rsidRDefault="00850276" w:rsidP="005379F4">
            <w:pPr>
              <w:spacing w:before="120" w:after="120"/>
              <w:jc w:val="center"/>
              <w:rPr>
                <w:rFonts w:cs="Tahoma"/>
                <w:color w:val="000000"/>
                <w:szCs w:val="20"/>
              </w:rPr>
            </w:pPr>
            <w:r w:rsidRPr="005379F4">
              <w:rPr>
                <w:rFonts w:cs="Tahoma"/>
                <w:color w:val="000000"/>
              </w:rPr>
              <w:t>30%</w:t>
            </w:r>
          </w:p>
        </w:tc>
      </w:tr>
      <w:tr w:rsidR="00850276" w:rsidRPr="005379F4" w14:paraId="5E48F31E"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B6D3B81" w14:textId="06E3941F" w:rsidR="00850276" w:rsidRPr="005379F4" w:rsidRDefault="00850276" w:rsidP="005379F4">
            <w:pPr>
              <w:spacing w:before="120" w:after="120"/>
              <w:jc w:val="center"/>
              <w:rPr>
                <w:rFonts w:cs="Tahoma"/>
                <w:color w:val="000000"/>
                <w:szCs w:val="20"/>
              </w:rPr>
            </w:pPr>
            <w:r w:rsidRPr="005379F4">
              <w:rPr>
                <w:rFonts w:cs="Tahoma"/>
              </w:rPr>
              <w:t>5</w:t>
            </w:r>
          </w:p>
        </w:tc>
        <w:tc>
          <w:tcPr>
            <w:tcW w:w="1701" w:type="dxa"/>
            <w:tcBorders>
              <w:top w:val="nil"/>
              <w:left w:val="nil"/>
              <w:bottom w:val="single" w:sz="4" w:space="0" w:color="auto"/>
              <w:right w:val="single" w:sz="4" w:space="0" w:color="auto"/>
            </w:tcBorders>
            <w:shd w:val="clear" w:color="auto" w:fill="auto"/>
            <w:noWrap/>
            <w:vAlign w:val="center"/>
            <w:hideMark/>
          </w:tcPr>
          <w:p w14:paraId="6890A8B7" w14:textId="19390950" w:rsidR="00850276" w:rsidRPr="005379F4" w:rsidRDefault="00850276" w:rsidP="005379F4">
            <w:pPr>
              <w:spacing w:before="120" w:after="120"/>
              <w:jc w:val="center"/>
              <w:rPr>
                <w:rFonts w:cs="Tahoma"/>
                <w:color w:val="000000"/>
                <w:szCs w:val="20"/>
              </w:rPr>
            </w:pPr>
            <w:r w:rsidRPr="005379F4">
              <w:rPr>
                <w:rFonts w:cs="Tahoma"/>
                <w:color w:val="000000"/>
              </w:rPr>
              <w:t>38%</w:t>
            </w:r>
          </w:p>
        </w:tc>
        <w:tc>
          <w:tcPr>
            <w:tcW w:w="1985" w:type="dxa"/>
            <w:tcBorders>
              <w:top w:val="nil"/>
              <w:left w:val="nil"/>
              <w:bottom w:val="single" w:sz="4" w:space="0" w:color="auto"/>
              <w:right w:val="single" w:sz="4" w:space="0" w:color="auto"/>
            </w:tcBorders>
            <w:shd w:val="clear" w:color="auto" w:fill="auto"/>
            <w:noWrap/>
            <w:vAlign w:val="center"/>
            <w:hideMark/>
          </w:tcPr>
          <w:p w14:paraId="10A5610E" w14:textId="3E75777E" w:rsidR="00850276" w:rsidRPr="005379F4" w:rsidRDefault="00850276" w:rsidP="005379F4">
            <w:pPr>
              <w:spacing w:before="120" w:after="120"/>
              <w:jc w:val="center"/>
              <w:rPr>
                <w:rFonts w:cs="Tahoma"/>
                <w:color w:val="000000"/>
                <w:szCs w:val="20"/>
              </w:rPr>
            </w:pPr>
            <w:r w:rsidRPr="005379F4">
              <w:rPr>
                <w:rFonts w:cs="Tahoma"/>
                <w:color w:val="000000"/>
              </w:rPr>
              <w:t>15%</w:t>
            </w:r>
          </w:p>
        </w:tc>
        <w:tc>
          <w:tcPr>
            <w:tcW w:w="1843" w:type="dxa"/>
            <w:tcBorders>
              <w:top w:val="nil"/>
              <w:left w:val="nil"/>
              <w:bottom w:val="single" w:sz="4" w:space="0" w:color="auto"/>
              <w:right w:val="single" w:sz="4" w:space="0" w:color="auto"/>
            </w:tcBorders>
            <w:shd w:val="clear" w:color="auto" w:fill="auto"/>
            <w:noWrap/>
            <w:vAlign w:val="center"/>
            <w:hideMark/>
          </w:tcPr>
          <w:p w14:paraId="33891121" w14:textId="38F865E5" w:rsidR="00850276" w:rsidRPr="005379F4" w:rsidRDefault="00850276" w:rsidP="005379F4">
            <w:pPr>
              <w:spacing w:before="120" w:after="120"/>
              <w:jc w:val="center"/>
              <w:rPr>
                <w:rFonts w:cs="Tahoma"/>
                <w:color w:val="000000"/>
                <w:szCs w:val="20"/>
              </w:rPr>
            </w:pPr>
            <w:r w:rsidRPr="005379F4">
              <w:rPr>
                <w:rFonts w:cs="Tahoma"/>
                <w:color w:val="000000"/>
              </w:rPr>
              <w:t>10%</w:t>
            </w:r>
          </w:p>
        </w:tc>
        <w:tc>
          <w:tcPr>
            <w:tcW w:w="2119" w:type="dxa"/>
            <w:tcBorders>
              <w:top w:val="nil"/>
              <w:left w:val="nil"/>
              <w:bottom w:val="single" w:sz="4" w:space="0" w:color="auto"/>
              <w:right w:val="single" w:sz="4" w:space="0" w:color="auto"/>
            </w:tcBorders>
            <w:shd w:val="clear" w:color="auto" w:fill="auto"/>
            <w:noWrap/>
            <w:vAlign w:val="center"/>
            <w:hideMark/>
          </w:tcPr>
          <w:p w14:paraId="2C62FDED" w14:textId="744D6F06" w:rsidR="00850276" w:rsidRPr="005379F4" w:rsidRDefault="00850276" w:rsidP="005379F4">
            <w:pPr>
              <w:spacing w:before="120" w:after="120"/>
              <w:jc w:val="center"/>
              <w:rPr>
                <w:rFonts w:cs="Tahoma"/>
                <w:color w:val="000000"/>
                <w:szCs w:val="20"/>
              </w:rPr>
            </w:pPr>
            <w:r w:rsidRPr="005379F4">
              <w:rPr>
                <w:rFonts w:cs="Tahoma"/>
                <w:color w:val="000000"/>
              </w:rPr>
              <w:t>38%</w:t>
            </w:r>
          </w:p>
        </w:tc>
      </w:tr>
      <w:tr w:rsidR="00850276" w:rsidRPr="005379F4" w14:paraId="5193C38C"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FA3AD87" w14:textId="5DC6C154" w:rsidR="00850276" w:rsidRPr="005379F4" w:rsidRDefault="00850276" w:rsidP="005379F4">
            <w:pPr>
              <w:spacing w:before="120" w:after="120"/>
              <w:jc w:val="center"/>
              <w:rPr>
                <w:rFonts w:cs="Tahoma"/>
                <w:color w:val="000000"/>
                <w:szCs w:val="20"/>
              </w:rPr>
            </w:pPr>
            <w:r w:rsidRPr="005379F4">
              <w:rPr>
                <w:rFonts w:cs="Tahoma"/>
              </w:rPr>
              <w:t>4</w:t>
            </w:r>
          </w:p>
        </w:tc>
        <w:tc>
          <w:tcPr>
            <w:tcW w:w="1701" w:type="dxa"/>
            <w:tcBorders>
              <w:top w:val="nil"/>
              <w:left w:val="nil"/>
              <w:bottom w:val="single" w:sz="4" w:space="0" w:color="auto"/>
              <w:right w:val="single" w:sz="4" w:space="0" w:color="auto"/>
            </w:tcBorders>
            <w:shd w:val="clear" w:color="auto" w:fill="auto"/>
            <w:noWrap/>
            <w:vAlign w:val="center"/>
            <w:hideMark/>
          </w:tcPr>
          <w:p w14:paraId="3544CF89" w14:textId="4A508A44" w:rsidR="00850276" w:rsidRPr="005379F4" w:rsidRDefault="00850276" w:rsidP="005379F4">
            <w:pPr>
              <w:spacing w:before="120" w:after="120"/>
              <w:jc w:val="center"/>
              <w:rPr>
                <w:rFonts w:cs="Tahoma"/>
                <w:color w:val="000000"/>
                <w:szCs w:val="20"/>
              </w:rPr>
            </w:pPr>
            <w:r w:rsidRPr="005379F4">
              <w:rPr>
                <w:rFonts w:cs="Tahoma"/>
                <w:color w:val="000000"/>
              </w:rPr>
              <w:t>30%</w:t>
            </w:r>
          </w:p>
        </w:tc>
        <w:tc>
          <w:tcPr>
            <w:tcW w:w="1985" w:type="dxa"/>
            <w:tcBorders>
              <w:top w:val="nil"/>
              <w:left w:val="nil"/>
              <w:bottom w:val="single" w:sz="4" w:space="0" w:color="auto"/>
              <w:right w:val="single" w:sz="4" w:space="0" w:color="auto"/>
            </w:tcBorders>
            <w:shd w:val="clear" w:color="auto" w:fill="auto"/>
            <w:noWrap/>
            <w:vAlign w:val="center"/>
            <w:hideMark/>
          </w:tcPr>
          <w:p w14:paraId="2BDA9D27" w14:textId="2174152E" w:rsidR="00850276" w:rsidRPr="005379F4" w:rsidRDefault="00850276" w:rsidP="005379F4">
            <w:pPr>
              <w:spacing w:before="120" w:after="120"/>
              <w:jc w:val="center"/>
              <w:rPr>
                <w:rFonts w:cs="Tahoma"/>
                <w:color w:val="000000"/>
                <w:szCs w:val="20"/>
              </w:rPr>
            </w:pPr>
            <w:r w:rsidRPr="005379F4">
              <w:rPr>
                <w:rFonts w:cs="Tahoma"/>
                <w:color w:val="000000"/>
              </w:rPr>
              <w:t>16%</w:t>
            </w:r>
          </w:p>
        </w:tc>
        <w:tc>
          <w:tcPr>
            <w:tcW w:w="1843" w:type="dxa"/>
            <w:tcBorders>
              <w:top w:val="nil"/>
              <w:left w:val="nil"/>
              <w:bottom w:val="single" w:sz="4" w:space="0" w:color="auto"/>
              <w:right w:val="single" w:sz="4" w:space="0" w:color="auto"/>
            </w:tcBorders>
            <w:shd w:val="clear" w:color="auto" w:fill="auto"/>
            <w:noWrap/>
            <w:vAlign w:val="center"/>
            <w:hideMark/>
          </w:tcPr>
          <w:p w14:paraId="7CCBA799" w14:textId="00E2A483" w:rsidR="00850276" w:rsidRPr="005379F4" w:rsidRDefault="00850276" w:rsidP="005379F4">
            <w:pPr>
              <w:spacing w:before="120" w:after="120"/>
              <w:jc w:val="center"/>
              <w:rPr>
                <w:rFonts w:cs="Tahoma"/>
                <w:color w:val="000000"/>
                <w:szCs w:val="20"/>
              </w:rPr>
            </w:pPr>
            <w:r w:rsidRPr="005379F4">
              <w:rPr>
                <w:rFonts w:cs="Tahoma"/>
                <w:color w:val="000000"/>
              </w:rPr>
              <w:t>9%</w:t>
            </w:r>
          </w:p>
        </w:tc>
        <w:tc>
          <w:tcPr>
            <w:tcW w:w="2119" w:type="dxa"/>
            <w:tcBorders>
              <w:top w:val="nil"/>
              <w:left w:val="nil"/>
              <w:bottom w:val="single" w:sz="4" w:space="0" w:color="auto"/>
              <w:right w:val="single" w:sz="4" w:space="0" w:color="auto"/>
            </w:tcBorders>
            <w:shd w:val="clear" w:color="auto" w:fill="auto"/>
            <w:noWrap/>
            <w:vAlign w:val="center"/>
            <w:hideMark/>
          </w:tcPr>
          <w:p w14:paraId="2BE98EE5" w14:textId="2430BA51" w:rsidR="00850276" w:rsidRPr="005379F4" w:rsidRDefault="00850276" w:rsidP="005379F4">
            <w:pPr>
              <w:spacing w:before="120" w:after="120"/>
              <w:jc w:val="center"/>
              <w:rPr>
                <w:rFonts w:cs="Tahoma"/>
                <w:color w:val="000000"/>
                <w:szCs w:val="20"/>
              </w:rPr>
            </w:pPr>
            <w:r w:rsidRPr="005379F4">
              <w:rPr>
                <w:rFonts w:cs="Tahoma"/>
                <w:color w:val="000000"/>
              </w:rPr>
              <w:t>45%</w:t>
            </w:r>
          </w:p>
        </w:tc>
      </w:tr>
      <w:tr w:rsidR="00850276" w:rsidRPr="005379F4" w14:paraId="4FE2FD4B"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C1B24B" w14:textId="198ACAD1" w:rsidR="00850276" w:rsidRPr="005379F4" w:rsidRDefault="00850276" w:rsidP="005379F4">
            <w:pPr>
              <w:spacing w:before="120" w:after="120"/>
              <w:jc w:val="center"/>
              <w:rPr>
                <w:rFonts w:cs="Tahoma"/>
                <w:color w:val="000000"/>
                <w:szCs w:val="20"/>
              </w:rPr>
            </w:pPr>
            <w:r w:rsidRPr="005379F4">
              <w:rPr>
                <w:rFonts w:cs="Tahoma"/>
              </w:rPr>
              <w:t>3</w:t>
            </w:r>
          </w:p>
        </w:tc>
        <w:tc>
          <w:tcPr>
            <w:tcW w:w="1701" w:type="dxa"/>
            <w:tcBorders>
              <w:top w:val="nil"/>
              <w:left w:val="nil"/>
              <w:bottom w:val="single" w:sz="4" w:space="0" w:color="auto"/>
              <w:right w:val="single" w:sz="4" w:space="0" w:color="auto"/>
            </w:tcBorders>
            <w:shd w:val="clear" w:color="auto" w:fill="auto"/>
            <w:noWrap/>
            <w:vAlign w:val="center"/>
            <w:hideMark/>
          </w:tcPr>
          <w:p w14:paraId="1DE1B852" w14:textId="4DB0FA76" w:rsidR="00850276" w:rsidRPr="005379F4" w:rsidRDefault="00850276" w:rsidP="005379F4">
            <w:pPr>
              <w:spacing w:before="120" w:after="120"/>
              <w:jc w:val="center"/>
              <w:rPr>
                <w:rFonts w:cs="Tahoma"/>
                <w:color w:val="000000"/>
                <w:szCs w:val="20"/>
              </w:rPr>
            </w:pPr>
            <w:r w:rsidRPr="005379F4">
              <w:rPr>
                <w:rFonts w:cs="Tahoma"/>
                <w:color w:val="000000"/>
              </w:rPr>
              <w:t>23%</w:t>
            </w:r>
          </w:p>
        </w:tc>
        <w:tc>
          <w:tcPr>
            <w:tcW w:w="1985" w:type="dxa"/>
            <w:tcBorders>
              <w:top w:val="nil"/>
              <w:left w:val="nil"/>
              <w:bottom w:val="single" w:sz="4" w:space="0" w:color="auto"/>
              <w:right w:val="single" w:sz="4" w:space="0" w:color="auto"/>
            </w:tcBorders>
            <w:shd w:val="clear" w:color="auto" w:fill="auto"/>
            <w:noWrap/>
            <w:vAlign w:val="center"/>
            <w:hideMark/>
          </w:tcPr>
          <w:p w14:paraId="7768E9CB" w14:textId="2F53FCA1" w:rsidR="00850276" w:rsidRPr="005379F4" w:rsidRDefault="00850276" w:rsidP="005379F4">
            <w:pPr>
              <w:spacing w:before="120" w:after="120"/>
              <w:jc w:val="center"/>
              <w:rPr>
                <w:rFonts w:cs="Tahoma"/>
                <w:color w:val="000000"/>
                <w:szCs w:val="20"/>
              </w:rPr>
            </w:pPr>
            <w:r w:rsidRPr="005379F4">
              <w:rPr>
                <w:rFonts w:cs="Tahoma"/>
                <w:color w:val="000000"/>
              </w:rPr>
              <w:t>17%</w:t>
            </w:r>
          </w:p>
        </w:tc>
        <w:tc>
          <w:tcPr>
            <w:tcW w:w="1843" w:type="dxa"/>
            <w:tcBorders>
              <w:top w:val="nil"/>
              <w:left w:val="nil"/>
              <w:bottom w:val="single" w:sz="4" w:space="0" w:color="auto"/>
              <w:right w:val="single" w:sz="4" w:space="0" w:color="auto"/>
            </w:tcBorders>
            <w:shd w:val="clear" w:color="auto" w:fill="auto"/>
            <w:noWrap/>
            <w:vAlign w:val="center"/>
            <w:hideMark/>
          </w:tcPr>
          <w:p w14:paraId="0EDDFFF1" w14:textId="214265F8" w:rsidR="00850276" w:rsidRPr="005379F4" w:rsidRDefault="00850276" w:rsidP="005379F4">
            <w:pPr>
              <w:spacing w:before="120" w:after="120"/>
              <w:jc w:val="center"/>
              <w:rPr>
                <w:rFonts w:cs="Tahoma"/>
                <w:color w:val="000000"/>
                <w:szCs w:val="20"/>
              </w:rPr>
            </w:pPr>
            <w:r w:rsidRPr="005379F4">
              <w:rPr>
                <w:rFonts w:cs="Tahoma"/>
                <w:color w:val="000000"/>
              </w:rPr>
              <w:t>8%</w:t>
            </w:r>
          </w:p>
        </w:tc>
        <w:tc>
          <w:tcPr>
            <w:tcW w:w="2119" w:type="dxa"/>
            <w:tcBorders>
              <w:top w:val="nil"/>
              <w:left w:val="nil"/>
              <w:bottom w:val="single" w:sz="4" w:space="0" w:color="auto"/>
              <w:right w:val="single" w:sz="4" w:space="0" w:color="auto"/>
            </w:tcBorders>
            <w:shd w:val="clear" w:color="auto" w:fill="auto"/>
            <w:noWrap/>
            <w:vAlign w:val="center"/>
            <w:hideMark/>
          </w:tcPr>
          <w:p w14:paraId="75B0894E" w14:textId="604A4280" w:rsidR="00850276" w:rsidRPr="005379F4" w:rsidRDefault="00850276" w:rsidP="005379F4">
            <w:pPr>
              <w:spacing w:before="120" w:after="120"/>
              <w:jc w:val="center"/>
              <w:rPr>
                <w:rFonts w:cs="Tahoma"/>
                <w:color w:val="000000"/>
                <w:szCs w:val="20"/>
              </w:rPr>
            </w:pPr>
            <w:r w:rsidRPr="005379F4">
              <w:rPr>
                <w:rFonts w:cs="Tahoma"/>
                <w:color w:val="000000"/>
              </w:rPr>
              <w:t>53%</w:t>
            </w:r>
          </w:p>
        </w:tc>
      </w:tr>
      <w:tr w:rsidR="00850276" w:rsidRPr="005379F4" w14:paraId="38E8561A" w14:textId="77777777" w:rsidTr="00E0458F">
        <w:trPr>
          <w:trHeight w:val="22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21C15AA" w14:textId="3DDBAD20" w:rsidR="00850276" w:rsidRPr="005379F4" w:rsidRDefault="00850276" w:rsidP="005379F4">
            <w:pPr>
              <w:spacing w:before="120" w:after="120"/>
              <w:jc w:val="center"/>
              <w:rPr>
                <w:rFonts w:cs="Tahoma"/>
                <w:color w:val="000000"/>
                <w:szCs w:val="20"/>
              </w:rPr>
            </w:pPr>
            <w:r w:rsidRPr="005379F4">
              <w:rPr>
                <w:rFonts w:cs="Tahoma"/>
              </w:rPr>
              <w:t>2</w:t>
            </w:r>
          </w:p>
        </w:tc>
        <w:tc>
          <w:tcPr>
            <w:tcW w:w="1701" w:type="dxa"/>
            <w:tcBorders>
              <w:top w:val="nil"/>
              <w:left w:val="nil"/>
              <w:bottom w:val="single" w:sz="4" w:space="0" w:color="auto"/>
              <w:right w:val="single" w:sz="4" w:space="0" w:color="auto"/>
            </w:tcBorders>
            <w:shd w:val="clear" w:color="auto" w:fill="auto"/>
            <w:noWrap/>
            <w:vAlign w:val="center"/>
            <w:hideMark/>
          </w:tcPr>
          <w:p w14:paraId="1A77F86C" w14:textId="66BD1E2F" w:rsidR="00850276" w:rsidRPr="005379F4" w:rsidRDefault="00850276" w:rsidP="005379F4">
            <w:pPr>
              <w:spacing w:before="120" w:after="120"/>
              <w:jc w:val="center"/>
              <w:rPr>
                <w:rFonts w:cs="Tahoma"/>
                <w:color w:val="000000"/>
                <w:szCs w:val="20"/>
              </w:rPr>
            </w:pPr>
            <w:r w:rsidRPr="005379F4">
              <w:rPr>
                <w:rFonts w:cs="Tahoma"/>
                <w:color w:val="000000"/>
              </w:rPr>
              <w:t>15%</w:t>
            </w:r>
          </w:p>
        </w:tc>
        <w:tc>
          <w:tcPr>
            <w:tcW w:w="1985" w:type="dxa"/>
            <w:tcBorders>
              <w:top w:val="nil"/>
              <w:left w:val="nil"/>
              <w:bottom w:val="single" w:sz="4" w:space="0" w:color="auto"/>
              <w:right w:val="single" w:sz="4" w:space="0" w:color="auto"/>
            </w:tcBorders>
            <w:shd w:val="clear" w:color="auto" w:fill="auto"/>
            <w:noWrap/>
            <w:vAlign w:val="center"/>
            <w:hideMark/>
          </w:tcPr>
          <w:p w14:paraId="0781FCA9" w14:textId="1231B5AE" w:rsidR="00850276" w:rsidRPr="005379F4" w:rsidRDefault="00850276" w:rsidP="005379F4">
            <w:pPr>
              <w:spacing w:before="120" w:after="120"/>
              <w:jc w:val="center"/>
              <w:rPr>
                <w:rFonts w:cs="Tahoma"/>
                <w:color w:val="000000"/>
                <w:szCs w:val="20"/>
              </w:rPr>
            </w:pPr>
            <w:r w:rsidRPr="005379F4">
              <w:rPr>
                <w:rFonts w:cs="Tahoma"/>
                <w:color w:val="000000"/>
              </w:rPr>
              <w:t>18%</w:t>
            </w:r>
          </w:p>
        </w:tc>
        <w:tc>
          <w:tcPr>
            <w:tcW w:w="1843" w:type="dxa"/>
            <w:tcBorders>
              <w:top w:val="nil"/>
              <w:left w:val="nil"/>
              <w:bottom w:val="single" w:sz="4" w:space="0" w:color="auto"/>
              <w:right w:val="single" w:sz="4" w:space="0" w:color="auto"/>
            </w:tcBorders>
            <w:shd w:val="clear" w:color="auto" w:fill="auto"/>
            <w:noWrap/>
            <w:vAlign w:val="center"/>
            <w:hideMark/>
          </w:tcPr>
          <w:p w14:paraId="20C6A66E" w14:textId="4351680F" w:rsidR="00850276" w:rsidRPr="005379F4" w:rsidRDefault="00850276" w:rsidP="005379F4">
            <w:pPr>
              <w:spacing w:before="120" w:after="120"/>
              <w:jc w:val="center"/>
              <w:rPr>
                <w:rFonts w:cs="Tahoma"/>
                <w:color w:val="000000"/>
                <w:szCs w:val="20"/>
              </w:rPr>
            </w:pPr>
            <w:r w:rsidRPr="005379F4">
              <w:rPr>
                <w:rFonts w:cs="Tahoma"/>
                <w:color w:val="000000"/>
              </w:rPr>
              <w:t>7%</w:t>
            </w:r>
          </w:p>
        </w:tc>
        <w:tc>
          <w:tcPr>
            <w:tcW w:w="2119" w:type="dxa"/>
            <w:tcBorders>
              <w:top w:val="nil"/>
              <w:left w:val="nil"/>
              <w:bottom w:val="single" w:sz="4" w:space="0" w:color="auto"/>
              <w:right w:val="single" w:sz="4" w:space="0" w:color="auto"/>
            </w:tcBorders>
            <w:shd w:val="clear" w:color="auto" w:fill="auto"/>
            <w:noWrap/>
            <w:vAlign w:val="center"/>
            <w:hideMark/>
          </w:tcPr>
          <w:p w14:paraId="7FEB84ED" w14:textId="3A5AC957" w:rsidR="00850276" w:rsidRPr="005379F4" w:rsidRDefault="00850276" w:rsidP="005379F4">
            <w:pPr>
              <w:spacing w:before="120" w:after="120"/>
              <w:jc w:val="center"/>
              <w:rPr>
                <w:rFonts w:cs="Tahoma"/>
                <w:color w:val="000000"/>
                <w:szCs w:val="20"/>
              </w:rPr>
            </w:pPr>
            <w:r w:rsidRPr="005379F4">
              <w:rPr>
                <w:rFonts w:cs="Tahoma"/>
                <w:color w:val="000000"/>
              </w:rPr>
              <w:t>60%</w:t>
            </w:r>
          </w:p>
        </w:tc>
      </w:tr>
      <w:tr w:rsidR="00850276" w:rsidRPr="005379F4" w14:paraId="72F76057" w14:textId="77777777" w:rsidTr="00E0458F">
        <w:trPr>
          <w:trHeight w:val="22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BE78E" w14:textId="615EF6BB" w:rsidR="00850276" w:rsidRPr="005379F4" w:rsidRDefault="00850276" w:rsidP="005379F4">
            <w:pPr>
              <w:spacing w:before="120" w:after="120"/>
              <w:jc w:val="center"/>
              <w:rPr>
                <w:rFonts w:cs="Tahoma"/>
                <w:color w:val="000000"/>
                <w:szCs w:val="20"/>
              </w:rPr>
            </w:pPr>
            <w:r w:rsidRPr="005379F4">
              <w:rPr>
                <w:rFonts w:cs="Tahoma"/>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2F10B2" w14:textId="171B4F29" w:rsidR="00850276" w:rsidRPr="005379F4" w:rsidRDefault="00850276" w:rsidP="005379F4">
            <w:pPr>
              <w:spacing w:before="120" w:after="120"/>
              <w:jc w:val="center"/>
              <w:rPr>
                <w:rFonts w:cs="Tahoma"/>
                <w:color w:val="000000"/>
                <w:szCs w:val="20"/>
              </w:rPr>
            </w:pPr>
            <w:r w:rsidRPr="005379F4">
              <w:rPr>
                <w:rFonts w:cs="Tahoma"/>
                <w:color w:val="000000"/>
              </w:rPr>
              <w:t>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DA05BE6" w14:textId="7F652389" w:rsidR="00850276" w:rsidRPr="005379F4" w:rsidRDefault="00850276" w:rsidP="005379F4">
            <w:pPr>
              <w:spacing w:before="120" w:after="120"/>
              <w:jc w:val="center"/>
              <w:rPr>
                <w:rFonts w:cs="Tahoma"/>
                <w:color w:val="000000"/>
                <w:szCs w:val="20"/>
              </w:rPr>
            </w:pPr>
            <w:r w:rsidRPr="005379F4">
              <w:rPr>
                <w:rFonts w:cs="Tahoma"/>
                <w:color w:val="000000"/>
              </w:rPr>
              <w:t>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BF25B38" w14:textId="40F40DD2" w:rsidR="00850276" w:rsidRPr="005379F4" w:rsidRDefault="00850276" w:rsidP="005379F4">
            <w:pPr>
              <w:spacing w:before="120" w:after="120"/>
              <w:jc w:val="center"/>
              <w:rPr>
                <w:rFonts w:cs="Tahoma"/>
                <w:color w:val="000000"/>
                <w:szCs w:val="20"/>
              </w:rPr>
            </w:pPr>
            <w:r w:rsidRPr="005379F4">
              <w:rPr>
                <w:rFonts w:cs="Tahoma"/>
                <w:color w:val="000000"/>
              </w:rPr>
              <w:t>6%</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14:paraId="1BA27D4A" w14:textId="700751B7" w:rsidR="00850276" w:rsidRPr="005379F4" w:rsidRDefault="00850276" w:rsidP="005379F4">
            <w:pPr>
              <w:spacing w:before="120" w:after="120"/>
              <w:jc w:val="center"/>
              <w:rPr>
                <w:rFonts w:cs="Tahoma"/>
                <w:color w:val="000000"/>
                <w:szCs w:val="20"/>
              </w:rPr>
            </w:pPr>
            <w:r w:rsidRPr="005379F4">
              <w:rPr>
                <w:rFonts w:cs="Tahoma"/>
                <w:color w:val="000000"/>
              </w:rPr>
              <w:t>68%</w:t>
            </w:r>
          </w:p>
        </w:tc>
      </w:tr>
      <w:tr w:rsidR="00850276" w:rsidRPr="005379F4" w14:paraId="042D36BC" w14:textId="77777777" w:rsidTr="00E0458F">
        <w:trPr>
          <w:trHeight w:val="22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E524E" w14:textId="55997BF9" w:rsidR="00850276" w:rsidRPr="005379F4" w:rsidRDefault="00850276" w:rsidP="005379F4">
            <w:pPr>
              <w:spacing w:before="120" w:after="120"/>
              <w:jc w:val="center"/>
              <w:rPr>
                <w:rFonts w:cs="Tahoma"/>
                <w:szCs w:val="20"/>
              </w:rPr>
            </w:pPr>
            <w:r w:rsidRPr="005379F4">
              <w:rPr>
                <w:rFonts w:cs="Tahoma"/>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D87C90" w14:textId="63D6D689" w:rsidR="00850276" w:rsidRPr="005379F4" w:rsidRDefault="00850276" w:rsidP="005379F4">
            <w:pPr>
              <w:spacing w:before="120" w:after="120"/>
              <w:jc w:val="center"/>
              <w:rPr>
                <w:rFonts w:cs="Tahoma"/>
                <w:color w:val="000000"/>
                <w:szCs w:val="20"/>
              </w:rPr>
            </w:pPr>
            <w:r w:rsidRPr="005379F4">
              <w:rPr>
                <w:rFonts w:cs="Tahoma"/>
                <w:color w:val="000000"/>
              </w:rPr>
              <w:t>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E2F6E77" w14:textId="43F125C1" w:rsidR="00850276" w:rsidRPr="005379F4" w:rsidRDefault="00850276" w:rsidP="005379F4">
            <w:pPr>
              <w:spacing w:before="120" w:after="120"/>
              <w:jc w:val="center"/>
              <w:rPr>
                <w:rFonts w:cs="Tahoma"/>
                <w:color w:val="000000"/>
                <w:szCs w:val="20"/>
              </w:rPr>
            </w:pPr>
            <w:r w:rsidRPr="005379F4">
              <w:rPr>
                <w:rFonts w:cs="Tahoma"/>
                <w:color w:val="000000"/>
              </w:rPr>
              <w:t>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AD9004" w14:textId="15422ABE" w:rsidR="00850276" w:rsidRPr="005379F4" w:rsidRDefault="00850276" w:rsidP="005379F4">
            <w:pPr>
              <w:spacing w:before="120" w:after="120"/>
              <w:jc w:val="center"/>
              <w:rPr>
                <w:rFonts w:cs="Tahoma"/>
                <w:color w:val="000000"/>
                <w:szCs w:val="20"/>
              </w:rPr>
            </w:pPr>
            <w:r w:rsidRPr="005379F4">
              <w:rPr>
                <w:rFonts w:cs="Tahoma"/>
                <w:color w:val="000000"/>
              </w:rPr>
              <w:t>5%</w:t>
            </w:r>
          </w:p>
        </w:tc>
        <w:tc>
          <w:tcPr>
            <w:tcW w:w="2119" w:type="dxa"/>
            <w:tcBorders>
              <w:top w:val="single" w:sz="4" w:space="0" w:color="auto"/>
              <w:left w:val="nil"/>
              <w:bottom w:val="single" w:sz="4" w:space="0" w:color="auto"/>
              <w:right w:val="single" w:sz="4" w:space="0" w:color="auto"/>
            </w:tcBorders>
            <w:shd w:val="clear" w:color="auto" w:fill="auto"/>
            <w:noWrap/>
            <w:vAlign w:val="center"/>
          </w:tcPr>
          <w:p w14:paraId="497AB98D" w14:textId="266E7565" w:rsidR="00850276" w:rsidRPr="005379F4" w:rsidRDefault="00850276" w:rsidP="005379F4">
            <w:pPr>
              <w:spacing w:before="120" w:after="120"/>
              <w:jc w:val="center"/>
              <w:rPr>
                <w:rFonts w:cs="Tahoma"/>
                <w:color w:val="000000"/>
                <w:szCs w:val="20"/>
              </w:rPr>
            </w:pPr>
            <w:r w:rsidRPr="005379F4">
              <w:rPr>
                <w:rFonts w:cs="Tahoma"/>
                <w:color w:val="000000"/>
              </w:rPr>
              <w:t>75%</w:t>
            </w:r>
          </w:p>
        </w:tc>
      </w:tr>
      <w:tr w:rsidR="00E0458F" w:rsidRPr="005379F4" w14:paraId="691F8414" w14:textId="77777777" w:rsidTr="00E0458F">
        <w:trPr>
          <w:trHeight w:val="22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97A82" w14:textId="08604E80" w:rsidR="00E0458F" w:rsidRPr="005379F4" w:rsidRDefault="00E0458F" w:rsidP="005379F4">
            <w:pPr>
              <w:spacing w:before="120" w:after="120"/>
              <w:jc w:val="center"/>
              <w:rPr>
                <w:rFonts w:cs="Tahoma"/>
                <w:szCs w:val="20"/>
              </w:rPr>
            </w:pPr>
            <w:r w:rsidRPr="005379F4">
              <w:rPr>
                <w:rFonts w:cs="Tahoma"/>
              </w:rPr>
              <w:t>After the target date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7DC63C" w14:textId="700A38CF" w:rsidR="00E0458F" w:rsidRPr="005379F4" w:rsidRDefault="00E0458F" w:rsidP="005379F4">
            <w:pPr>
              <w:spacing w:before="120" w:after="120"/>
              <w:jc w:val="center"/>
              <w:rPr>
                <w:rFonts w:cs="Tahoma"/>
                <w:color w:val="000000"/>
                <w:szCs w:val="20"/>
              </w:rPr>
            </w:pPr>
            <w:r w:rsidRPr="005379F4">
              <w:rPr>
                <w:rFonts w:cs="Tahoma"/>
                <w:color w:val="000000"/>
              </w:rPr>
              <w:t>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2AD30D" w14:textId="4A873495" w:rsidR="00E0458F" w:rsidRPr="005379F4" w:rsidRDefault="00E0458F" w:rsidP="005379F4">
            <w:pPr>
              <w:spacing w:before="120" w:after="120"/>
              <w:jc w:val="center"/>
              <w:rPr>
                <w:rFonts w:cs="Tahoma"/>
                <w:color w:val="000000"/>
                <w:szCs w:val="20"/>
              </w:rPr>
            </w:pPr>
            <w:r w:rsidRPr="005379F4">
              <w:rPr>
                <w:rFonts w:cs="Tahoma"/>
                <w:color w:val="000000"/>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EF58BD" w14:textId="53862DFF" w:rsidR="00E0458F" w:rsidRPr="005379F4" w:rsidRDefault="00E0458F" w:rsidP="005379F4">
            <w:pPr>
              <w:spacing w:before="120" w:after="120"/>
              <w:jc w:val="center"/>
              <w:rPr>
                <w:rFonts w:cs="Tahoma"/>
                <w:color w:val="000000"/>
                <w:szCs w:val="20"/>
              </w:rPr>
            </w:pPr>
            <w:r w:rsidRPr="005379F4">
              <w:rPr>
                <w:rFonts w:cs="Tahoma"/>
                <w:color w:val="000000"/>
              </w:rPr>
              <w:t>0%</w:t>
            </w:r>
          </w:p>
        </w:tc>
        <w:tc>
          <w:tcPr>
            <w:tcW w:w="2119" w:type="dxa"/>
            <w:tcBorders>
              <w:top w:val="single" w:sz="4" w:space="0" w:color="auto"/>
              <w:left w:val="nil"/>
              <w:bottom w:val="single" w:sz="4" w:space="0" w:color="auto"/>
              <w:right w:val="single" w:sz="4" w:space="0" w:color="auto"/>
            </w:tcBorders>
            <w:shd w:val="clear" w:color="auto" w:fill="auto"/>
            <w:noWrap/>
            <w:vAlign w:val="center"/>
          </w:tcPr>
          <w:p w14:paraId="5A2C1B48" w14:textId="3963D13B" w:rsidR="00E0458F" w:rsidRPr="005379F4" w:rsidRDefault="00E0458F" w:rsidP="005379F4">
            <w:pPr>
              <w:spacing w:before="120" w:after="120"/>
              <w:jc w:val="center"/>
              <w:rPr>
                <w:rFonts w:cs="Tahoma"/>
                <w:color w:val="000000"/>
                <w:szCs w:val="20"/>
              </w:rPr>
            </w:pPr>
            <w:r w:rsidRPr="005379F4">
              <w:rPr>
                <w:rFonts w:cs="Tahoma"/>
                <w:color w:val="000000"/>
              </w:rPr>
              <w:t>100%</w:t>
            </w:r>
          </w:p>
        </w:tc>
      </w:tr>
    </w:tbl>
    <w:p w14:paraId="32BB8ACB" w14:textId="4F2E2728" w:rsidR="00A84100" w:rsidRPr="005379F4" w:rsidRDefault="00A84100" w:rsidP="005379F4">
      <w:pPr>
        <w:pStyle w:val="10"/>
        <w:numPr>
          <w:ilvl w:val="0"/>
          <w:numId w:val="0"/>
        </w:numPr>
        <w:spacing w:before="120" w:after="120"/>
        <w:ind w:left="397"/>
        <w:jc w:val="right"/>
        <w:rPr>
          <w:rFonts w:cs="Tahoma"/>
        </w:rPr>
      </w:pPr>
    </w:p>
    <w:p w14:paraId="38A10FCF" w14:textId="6B437376" w:rsidR="00E0458F" w:rsidRPr="005379F4" w:rsidRDefault="00E0458F" w:rsidP="005379F4">
      <w:pPr>
        <w:spacing w:before="120" w:after="120"/>
        <w:rPr>
          <w:rFonts w:cs="Tahoma"/>
        </w:rPr>
      </w:pPr>
      <w:r w:rsidRPr="005379F4">
        <w:rPr>
          <w:rFonts w:cs="Tahoma"/>
        </w:rPr>
        <w:t>As of the limit date, the Exchange is entitled to set other values for target weights.</w:t>
      </w:r>
    </w:p>
    <w:sectPr w:rsidR="00E0458F" w:rsidRPr="005379F4" w:rsidSect="007653DC">
      <w:pgSz w:w="11906" w:h="16838"/>
      <w:pgMar w:top="1077" w:right="1134" w:bottom="107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8B8F57" w16cex:dateUtc="2025-01-11T08:33:00Z"/>
  <w16cex:commentExtensible w16cex:durableId="53D56CA4" w16cex:dateUtc="2025-01-11T08:49:00Z"/>
  <w16cex:commentExtensible w16cex:durableId="0E533BEE" w16cex:dateUtc="2025-01-11T08:38:00Z"/>
  <w16cex:commentExtensible w16cex:durableId="0D36AB62" w16cex:dateUtc="2025-01-11T08:42:00Z"/>
  <w16cex:commentExtensible w16cex:durableId="4AF8652E" w16cex:dateUtc="2025-01-11T0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410F" w14:textId="77777777" w:rsidR="00863119" w:rsidRDefault="00863119">
      <w:r>
        <w:separator/>
      </w:r>
    </w:p>
    <w:p w14:paraId="5DB28CED" w14:textId="77777777" w:rsidR="00863119" w:rsidRDefault="00863119"/>
    <w:p w14:paraId="25D54DF2" w14:textId="77777777" w:rsidR="00863119" w:rsidRDefault="00863119" w:rsidP="00AF15EE">
      <w:pPr>
        <w:numPr>
          <w:ilvl w:val="2"/>
          <w:numId w:val="1"/>
        </w:numPr>
      </w:pPr>
    </w:p>
  </w:endnote>
  <w:endnote w:type="continuationSeparator" w:id="0">
    <w:p w14:paraId="66F8236A" w14:textId="77777777" w:rsidR="00863119" w:rsidRDefault="00863119">
      <w:r>
        <w:continuationSeparator/>
      </w:r>
    </w:p>
    <w:p w14:paraId="58737FDC" w14:textId="77777777" w:rsidR="00863119" w:rsidRDefault="00863119"/>
    <w:p w14:paraId="61FD1068" w14:textId="77777777" w:rsidR="00863119" w:rsidRDefault="00863119" w:rsidP="00AF15EE">
      <w:pPr>
        <w:numPr>
          <w:ilvl w:val="2"/>
          <w:numId w:val="1"/>
        </w:numPr>
      </w:pPr>
    </w:p>
  </w:endnote>
  <w:endnote w:type="continuationNotice" w:id="1">
    <w:p w14:paraId="662052A2" w14:textId="77777777" w:rsidR="00863119" w:rsidRDefault="00863119"/>
    <w:p w14:paraId="010EF63C" w14:textId="77777777" w:rsidR="00863119" w:rsidRDefault="00863119"/>
    <w:p w14:paraId="3609060F" w14:textId="77777777" w:rsidR="00863119" w:rsidRDefault="00863119"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101409A" w:rsidR="00863119" w:rsidRDefault="00863119" w:rsidP="002606AA">
    <w:pPr>
      <w:pStyle w:val="ac"/>
      <w:framePr w:wrap="around" w:vAnchor="text" w:hAnchor="margin" w:xAlign="right" w:y="1"/>
      <w:rPr>
        <w:rStyle w:val="ad"/>
      </w:rPr>
    </w:pPr>
    <w:r>
      <w:rPr>
        <w:rStyle w:val="ad"/>
      </w:rPr>
      <w:fldChar w:fldCharType="begin"/>
    </w:r>
    <w:r>
      <w:rPr>
        <w:rStyle w:val="ad"/>
      </w:rPr>
      <w:instrText xml:space="preserve">PAGE  </w:instrText>
    </w:r>
    <w:r w:rsidR="005379F4">
      <w:rPr>
        <w:rStyle w:val="ad"/>
      </w:rPr>
      <w:fldChar w:fldCharType="separate"/>
    </w:r>
    <w:r w:rsidR="005379F4">
      <w:rPr>
        <w:rStyle w:val="ad"/>
        <w:noProof/>
      </w:rPr>
      <w:t>8</w:t>
    </w:r>
    <w:r>
      <w:rPr>
        <w:rStyle w:val="ad"/>
      </w:rPr>
      <w:fldChar w:fldCharType="end"/>
    </w:r>
  </w:p>
  <w:p w14:paraId="595F760C" w14:textId="77777777" w:rsidR="00863119" w:rsidRDefault="00863119" w:rsidP="0052580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863119" w:rsidRPr="006D19CD" w:rsidRDefault="00863119" w:rsidP="002606AA">
    <w:pPr>
      <w:pStyle w:val="ac"/>
      <w:framePr w:wrap="around" w:vAnchor="text" w:hAnchor="margin" w:xAlign="right" w:y="1"/>
      <w:rPr>
        <w:rStyle w:val="ad"/>
        <w:rFonts w:cs="Arial"/>
        <w:szCs w:val="20"/>
      </w:rPr>
    </w:pPr>
    <w:r w:rsidRPr="006D19CD">
      <w:rPr>
        <w:rStyle w:val="ad"/>
        <w:rFonts w:cs="Arial"/>
      </w:rPr>
      <w:fldChar w:fldCharType="begin"/>
    </w:r>
    <w:r w:rsidRPr="006D19CD">
      <w:rPr>
        <w:rStyle w:val="ad"/>
        <w:rFonts w:cs="Arial"/>
      </w:rPr>
      <w:instrText xml:space="preserve">PAGE  </w:instrText>
    </w:r>
    <w:r w:rsidRPr="006D19CD">
      <w:rPr>
        <w:rStyle w:val="ad"/>
        <w:rFonts w:cs="Arial"/>
      </w:rPr>
      <w:fldChar w:fldCharType="separate"/>
    </w:r>
    <w:r>
      <w:rPr>
        <w:rStyle w:val="ad"/>
        <w:rFonts w:cs="Arial"/>
      </w:rPr>
      <w:t>2</w:t>
    </w:r>
    <w:r w:rsidRPr="006D19CD">
      <w:rPr>
        <w:rStyle w:val="ad"/>
        <w:rFonts w:cs="Arial"/>
      </w:rPr>
      <w:fldChar w:fldCharType="end"/>
    </w:r>
  </w:p>
  <w:p w14:paraId="2D95139B" w14:textId="77777777" w:rsidR="00863119" w:rsidRDefault="00863119" w:rsidP="0052580F">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377B11E6" w:rsidR="00863119" w:rsidRDefault="00863119" w:rsidP="002606AA">
    <w:pPr>
      <w:pStyle w:val="ac"/>
      <w:framePr w:wrap="around" w:vAnchor="text" w:hAnchor="margin" w:xAlign="right" w:y="1"/>
      <w:rPr>
        <w:rStyle w:val="ad"/>
      </w:rPr>
    </w:pPr>
    <w:r>
      <w:rPr>
        <w:rStyle w:val="ad"/>
      </w:rPr>
      <w:fldChar w:fldCharType="begin"/>
    </w:r>
    <w:r>
      <w:rPr>
        <w:rStyle w:val="ad"/>
      </w:rPr>
      <w:instrText xml:space="preserve">PAGE  </w:instrText>
    </w:r>
    <w:r w:rsidR="005379F4">
      <w:rPr>
        <w:rStyle w:val="ad"/>
      </w:rPr>
      <w:fldChar w:fldCharType="separate"/>
    </w:r>
    <w:r w:rsidR="005379F4">
      <w:rPr>
        <w:rStyle w:val="ad"/>
        <w:noProof/>
      </w:rPr>
      <w:t>8</w:t>
    </w:r>
    <w:r>
      <w:rPr>
        <w:rStyle w:val="ad"/>
      </w:rPr>
      <w:fldChar w:fldCharType="end"/>
    </w:r>
  </w:p>
  <w:p w14:paraId="7B535441" w14:textId="77777777" w:rsidR="00863119" w:rsidRDefault="00863119" w:rsidP="0052580F">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4745128D" w:rsidR="00863119" w:rsidRPr="006D19CD" w:rsidRDefault="00863119" w:rsidP="002606AA">
    <w:pPr>
      <w:pStyle w:val="ac"/>
      <w:framePr w:wrap="around" w:vAnchor="text" w:hAnchor="margin" w:xAlign="right" w:y="1"/>
      <w:rPr>
        <w:rStyle w:val="ad"/>
        <w:rFonts w:ascii="Arial" w:hAnsi="Arial" w:cs="Arial"/>
        <w:szCs w:val="20"/>
      </w:rPr>
    </w:pPr>
    <w:r w:rsidRPr="006D19CD">
      <w:rPr>
        <w:rStyle w:val="ad"/>
        <w:rFonts w:ascii="Arial" w:hAnsi="Arial" w:cs="Arial"/>
      </w:rPr>
      <w:fldChar w:fldCharType="begin"/>
    </w:r>
    <w:r w:rsidRPr="006D19CD">
      <w:rPr>
        <w:rStyle w:val="ad"/>
        <w:rFonts w:ascii="Arial" w:hAnsi="Arial" w:cs="Arial"/>
      </w:rPr>
      <w:instrText xml:space="preserve">PAGE  </w:instrText>
    </w:r>
    <w:r w:rsidRPr="006D19CD">
      <w:rPr>
        <w:rStyle w:val="ad"/>
        <w:rFonts w:ascii="Arial" w:hAnsi="Arial" w:cs="Arial"/>
      </w:rPr>
      <w:fldChar w:fldCharType="separate"/>
    </w:r>
    <w:r>
      <w:rPr>
        <w:rStyle w:val="ad"/>
        <w:rFonts w:ascii="Arial" w:hAnsi="Arial" w:cs="Arial"/>
      </w:rPr>
      <w:t>17</w:t>
    </w:r>
    <w:r w:rsidRPr="006D19CD">
      <w:rPr>
        <w:rStyle w:val="ad"/>
        <w:rFonts w:ascii="Arial" w:hAnsi="Arial" w:cs="Arial"/>
      </w:rPr>
      <w:fldChar w:fldCharType="end"/>
    </w:r>
  </w:p>
  <w:p w14:paraId="60C61560" w14:textId="77777777" w:rsidR="00863119" w:rsidRDefault="00863119" w:rsidP="0052580F">
    <w:pPr>
      <w:pStyle w:val="a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32A224AF" w:rsidR="00863119" w:rsidRPr="00B21DBA" w:rsidRDefault="00863119" w:rsidP="00912065">
    <w:pPr>
      <w:pStyle w:val="ac"/>
      <w:framePr w:wrap="around" w:vAnchor="text" w:hAnchor="margin" w:xAlign="right" w:y="1"/>
      <w:rPr>
        <w:rStyle w:val="ad"/>
        <w:rFonts w:ascii="Arial" w:hAnsi="Arial" w:cs="Arial"/>
        <w:szCs w:val="20"/>
      </w:rPr>
    </w:pPr>
    <w:r w:rsidRPr="00B21DBA">
      <w:rPr>
        <w:rStyle w:val="ad"/>
        <w:rFonts w:ascii="Arial" w:hAnsi="Arial" w:cs="Arial"/>
      </w:rPr>
      <w:fldChar w:fldCharType="begin"/>
    </w:r>
    <w:r w:rsidRPr="00B21DBA">
      <w:rPr>
        <w:rStyle w:val="ad"/>
        <w:rFonts w:ascii="Arial" w:hAnsi="Arial" w:cs="Arial"/>
      </w:rPr>
      <w:instrText xml:space="preserve">PAGE  </w:instrText>
    </w:r>
    <w:r w:rsidRPr="00B21DBA">
      <w:rPr>
        <w:rStyle w:val="ad"/>
        <w:rFonts w:ascii="Arial" w:hAnsi="Arial" w:cs="Arial"/>
      </w:rPr>
      <w:fldChar w:fldCharType="separate"/>
    </w:r>
    <w:r>
      <w:rPr>
        <w:rStyle w:val="ad"/>
        <w:rFonts w:ascii="Arial" w:hAnsi="Arial" w:cs="Arial"/>
      </w:rPr>
      <w:t>2</w:t>
    </w:r>
    <w:r w:rsidRPr="00B21DBA">
      <w:rPr>
        <w:rStyle w:val="ad"/>
        <w:rFonts w:ascii="Arial" w:hAnsi="Arial" w:cs="Arial"/>
      </w:rPr>
      <w:fldChar w:fldCharType="end"/>
    </w:r>
  </w:p>
  <w:p w14:paraId="47DA482F" w14:textId="77777777" w:rsidR="00863119" w:rsidRDefault="00863119" w:rsidP="00B21DB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5E3B" w14:textId="77777777" w:rsidR="00863119" w:rsidRDefault="00863119">
      <w:r>
        <w:separator/>
      </w:r>
    </w:p>
    <w:p w14:paraId="672DC4FD" w14:textId="77777777" w:rsidR="00863119" w:rsidRDefault="00863119"/>
    <w:p w14:paraId="61EB09A8" w14:textId="77777777" w:rsidR="00863119" w:rsidRDefault="00863119" w:rsidP="00AF15EE">
      <w:pPr>
        <w:numPr>
          <w:ilvl w:val="2"/>
          <w:numId w:val="1"/>
        </w:numPr>
      </w:pPr>
    </w:p>
  </w:footnote>
  <w:footnote w:type="continuationSeparator" w:id="0">
    <w:p w14:paraId="3C36AE7E" w14:textId="77777777" w:rsidR="00863119" w:rsidRDefault="00863119">
      <w:r>
        <w:continuationSeparator/>
      </w:r>
    </w:p>
    <w:p w14:paraId="18D0F2D0" w14:textId="77777777" w:rsidR="00863119" w:rsidRDefault="00863119"/>
    <w:p w14:paraId="22FFE3A4" w14:textId="77777777" w:rsidR="00863119" w:rsidRDefault="00863119" w:rsidP="00AF15EE">
      <w:pPr>
        <w:numPr>
          <w:ilvl w:val="2"/>
          <w:numId w:val="1"/>
        </w:numPr>
      </w:pPr>
    </w:p>
  </w:footnote>
  <w:footnote w:type="continuationNotice" w:id="1">
    <w:p w14:paraId="44309EE9" w14:textId="77777777" w:rsidR="00863119" w:rsidRDefault="00863119"/>
    <w:p w14:paraId="184D30C8" w14:textId="77777777" w:rsidR="00863119" w:rsidRDefault="00863119"/>
    <w:p w14:paraId="64551DDA" w14:textId="77777777" w:rsidR="00863119" w:rsidRDefault="00863119"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17B14E4"/>
    <w:multiLevelType w:val="multilevel"/>
    <w:tmpl w:val="AA7E339C"/>
    <w:numStyleLink w:val="3"/>
  </w:abstractNum>
  <w:abstractNum w:abstractNumId="3"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246"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3A116BBF"/>
    <w:multiLevelType w:val="multilevel"/>
    <w:tmpl w:val="5E0440A2"/>
    <w:lvl w:ilvl="0">
      <w:start w:val="1"/>
      <w:numFmt w:val="decimal"/>
      <w:pStyle w:val="a0"/>
      <w:lvlText w:val="%1."/>
      <w:lvlJc w:val="left"/>
      <w:pPr>
        <w:tabs>
          <w:tab w:val="num" w:pos="284"/>
        </w:tabs>
        <w:ind w:left="284" w:hanging="284"/>
      </w:pPr>
      <w:rPr>
        <w:rFonts w:hint="default"/>
      </w:rPr>
    </w:lvl>
    <w:lvl w:ilvl="1">
      <w:start w:val="1"/>
      <w:numFmt w:val="decimal"/>
      <w:pStyle w:val="a1"/>
      <w:lvlText w:val="%1.%2."/>
      <w:lvlJc w:val="left"/>
      <w:pPr>
        <w:tabs>
          <w:tab w:val="num" w:pos="851"/>
        </w:tabs>
        <w:ind w:left="851" w:hanging="567"/>
      </w:pPr>
      <w:rPr>
        <w:rFonts w:hint="default"/>
      </w:rPr>
    </w:lvl>
    <w:lvl w:ilvl="2">
      <w:start w:val="1"/>
      <w:numFmt w:val="decimal"/>
      <w:pStyle w:val="12"/>
      <w:lvlText w:val="%1.%2.%3."/>
      <w:lvlJc w:val="left"/>
      <w:pPr>
        <w:tabs>
          <w:tab w:val="num" w:pos="1418"/>
        </w:tabs>
        <w:ind w:left="1418" w:hanging="567"/>
      </w:pPr>
      <w:rPr>
        <w:rFonts w:ascii="Tahoma" w:hAnsi="Tahoma" w:cs="Tahoma"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540C289A"/>
    <w:multiLevelType w:val="multilevel"/>
    <w:tmpl w:val="AA7E339C"/>
    <w:numStyleLink w:val="3"/>
  </w:abstractNum>
  <w:abstractNum w:abstractNumId="8"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1"/>
  </w:num>
  <w:num w:numId="4">
    <w:abstractNumId w:val="0"/>
  </w:num>
  <w:num w:numId="5">
    <w:abstractNumId w:val="8"/>
  </w:num>
  <w:num w:numId="6">
    <w:abstractNumId w:val="5"/>
  </w:num>
  <w:num w:numId="7">
    <w:abstractNumId w:val="2"/>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1D3"/>
    <w:rsid w:val="0000137A"/>
    <w:rsid w:val="00001973"/>
    <w:rsid w:val="00001E00"/>
    <w:rsid w:val="00001EAE"/>
    <w:rsid w:val="00002656"/>
    <w:rsid w:val="00002D56"/>
    <w:rsid w:val="0000383E"/>
    <w:rsid w:val="00003F00"/>
    <w:rsid w:val="00004338"/>
    <w:rsid w:val="000052C9"/>
    <w:rsid w:val="000057B1"/>
    <w:rsid w:val="00005C3D"/>
    <w:rsid w:val="000068BE"/>
    <w:rsid w:val="00006A72"/>
    <w:rsid w:val="00006E2C"/>
    <w:rsid w:val="000100A0"/>
    <w:rsid w:val="000100E5"/>
    <w:rsid w:val="0001012F"/>
    <w:rsid w:val="00010ACF"/>
    <w:rsid w:val="00010E7F"/>
    <w:rsid w:val="0001151C"/>
    <w:rsid w:val="00011E15"/>
    <w:rsid w:val="00012255"/>
    <w:rsid w:val="00012E12"/>
    <w:rsid w:val="00013416"/>
    <w:rsid w:val="00013591"/>
    <w:rsid w:val="00013643"/>
    <w:rsid w:val="00014370"/>
    <w:rsid w:val="00014845"/>
    <w:rsid w:val="00014E31"/>
    <w:rsid w:val="0001534B"/>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1C8C"/>
    <w:rsid w:val="00022191"/>
    <w:rsid w:val="00022588"/>
    <w:rsid w:val="00022670"/>
    <w:rsid w:val="00022F3B"/>
    <w:rsid w:val="000231AC"/>
    <w:rsid w:val="00023392"/>
    <w:rsid w:val="0002344D"/>
    <w:rsid w:val="000240F9"/>
    <w:rsid w:val="00024CB3"/>
    <w:rsid w:val="00025299"/>
    <w:rsid w:val="00025FC5"/>
    <w:rsid w:val="00026638"/>
    <w:rsid w:val="000266F8"/>
    <w:rsid w:val="00026913"/>
    <w:rsid w:val="00026E60"/>
    <w:rsid w:val="0002777B"/>
    <w:rsid w:val="00027A8F"/>
    <w:rsid w:val="000303EA"/>
    <w:rsid w:val="0003044C"/>
    <w:rsid w:val="00031091"/>
    <w:rsid w:val="000310D1"/>
    <w:rsid w:val="00031AA3"/>
    <w:rsid w:val="00031AEC"/>
    <w:rsid w:val="00031D62"/>
    <w:rsid w:val="00032240"/>
    <w:rsid w:val="00032842"/>
    <w:rsid w:val="00032AAC"/>
    <w:rsid w:val="00032CAE"/>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5BE"/>
    <w:rsid w:val="00040DBD"/>
    <w:rsid w:val="00041783"/>
    <w:rsid w:val="00041BAD"/>
    <w:rsid w:val="0004241E"/>
    <w:rsid w:val="000424CB"/>
    <w:rsid w:val="000426EF"/>
    <w:rsid w:val="00042BAB"/>
    <w:rsid w:val="00042CA2"/>
    <w:rsid w:val="000436DE"/>
    <w:rsid w:val="0004480F"/>
    <w:rsid w:val="00044C15"/>
    <w:rsid w:val="00044EB9"/>
    <w:rsid w:val="00045603"/>
    <w:rsid w:val="00045D5E"/>
    <w:rsid w:val="00046036"/>
    <w:rsid w:val="00047157"/>
    <w:rsid w:val="000476B3"/>
    <w:rsid w:val="00047C94"/>
    <w:rsid w:val="00047EAF"/>
    <w:rsid w:val="00050071"/>
    <w:rsid w:val="000501B8"/>
    <w:rsid w:val="000503C8"/>
    <w:rsid w:val="000504C8"/>
    <w:rsid w:val="00050707"/>
    <w:rsid w:val="000509C7"/>
    <w:rsid w:val="0005136E"/>
    <w:rsid w:val="00051DBF"/>
    <w:rsid w:val="00051F6A"/>
    <w:rsid w:val="000525F7"/>
    <w:rsid w:val="00052C04"/>
    <w:rsid w:val="00053C47"/>
    <w:rsid w:val="00053E5F"/>
    <w:rsid w:val="00053FFB"/>
    <w:rsid w:val="0005407A"/>
    <w:rsid w:val="000548FC"/>
    <w:rsid w:val="0005502D"/>
    <w:rsid w:val="000551A3"/>
    <w:rsid w:val="00056219"/>
    <w:rsid w:val="000564B6"/>
    <w:rsid w:val="000567D3"/>
    <w:rsid w:val="00056A65"/>
    <w:rsid w:val="00056B38"/>
    <w:rsid w:val="00056F15"/>
    <w:rsid w:val="00060117"/>
    <w:rsid w:val="00060B07"/>
    <w:rsid w:val="00060CA6"/>
    <w:rsid w:val="00061BC0"/>
    <w:rsid w:val="00061CDC"/>
    <w:rsid w:val="00061D41"/>
    <w:rsid w:val="000626A7"/>
    <w:rsid w:val="00062FF5"/>
    <w:rsid w:val="00063939"/>
    <w:rsid w:val="000647C9"/>
    <w:rsid w:val="000649D0"/>
    <w:rsid w:val="00064D01"/>
    <w:rsid w:val="0006501B"/>
    <w:rsid w:val="00065192"/>
    <w:rsid w:val="00065638"/>
    <w:rsid w:val="00065CB7"/>
    <w:rsid w:val="00066324"/>
    <w:rsid w:val="00066340"/>
    <w:rsid w:val="00066DF8"/>
    <w:rsid w:val="00066E06"/>
    <w:rsid w:val="00066EEF"/>
    <w:rsid w:val="00067025"/>
    <w:rsid w:val="00067894"/>
    <w:rsid w:val="00067A61"/>
    <w:rsid w:val="00067DAE"/>
    <w:rsid w:val="00070564"/>
    <w:rsid w:val="00070A37"/>
    <w:rsid w:val="00071915"/>
    <w:rsid w:val="00072525"/>
    <w:rsid w:val="00072602"/>
    <w:rsid w:val="000734E0"/>
    <w:rsid w:val="00073E13"/>
    <w:rsid w:val="00075293"/>
    <w:rsid w:val="00075ACB"/>
    <w:rsid w:val="00076644"/>
    <w:rsid w:val="00076956"/>
    <w:rsid w:val="00076C1D"/>
    <w:rsid w:val="00076D09"/>
    <w:rsid w:val="000778E7"/>
    <w:rsid w:val="000779DD"/>
    <w:rsid w:val="000801B5"/>
    <w:rsid w:val="00080249"/>
    <w:rsid w:val="00080CBE"/>
    <w:rsid w:val="00080DAB"/>
    <w:rsid w:val="00080FD4"/>
    <w:rsid w:val="00081644"/>
    <w:rsid w:val="00081747"/>
    <w:rsid w:val="00081E1F"/>
    <w:rsid w:val="00082414"/>
    <w:rsid w:val="0008280D"/>
    <w:rsid w:val="000828B5"/>
    <w:rsid w:val="00082DB5"/>
    <w:rsid w:val="00083576"/>
    <w:rsid w:val="00083708"/>
    <w:rsid w:val="0008386E"/>
    <w:rsid w:val="00084F5E"/>
    <w:rsid w:val="00084FE6"/>
    <w:rsid w:val="00085DDB"/>
    <w:rsid w:val="00085E56"/>
    <w:rsid w:val="00085FB5"/>
    <w:rsid w:val="00086165"/>
    <w:rsid w:val="000861D6"/>
    <w:rsid w:val="00086286"/>
    <w:rsid w:val="00086554"/>
    <w:rsid w:val="00086564"/>
    <w:rsid w:val="00086B7B"/>
    <w:rsid w:val="00086BDD"/>
    <w:rsid w:val="00087757"/>
    <w:rsid w:val="00087A16"/>
    <w:rsid w:val="000902D5"/>
    <w:rsid w:val="00090308"/>
    <w:rsid w:val="000906E4"/>
    <w:rsid w:val="00091191"/>
    <w:rsid w:val="000913A3"/>
    <w:rsid w:val="000917F2"/>
    <w:rsid w:val="00091813"/>
    <w:rsid w:val="000925DD"/>
    <w:rsid w:val="00092AAF"/>
    <w:rsid w:val="00092D8B"/>
    <w:rsid w:val="000931B5"/>
    <w:rsid w:val="000931D7"/>
    <w:rsid w:val="0009352D"/>
    <w:rsid w:val="0009365E"/>
    <w:rsid w:val="00093AB8"/>
    <w:rsid w:val="00093D87"/>
    <w:rsid w:val="00094086"/>
    <w:rsid w:val="00094427"/>
    <w:rsid w:val="000953B8"/>
    <w:rsid w:val="000956B4"/>
    <w:rsid w:val="000963A8"/>
    <w:rsid w:val="00096A43"/>
    <w:rsid w:val="00096B71"/>
    <w:rsid w:val="00096D4A"/>
    <w:rsid w:val="00097DAB"/>
    <w:rsid w:val="00097E08"/>
    <w:rsid w:val="00097ED3"/>
    <w:rsid w:val="00097F55"/>
    <w:rsid w:val="000A011A"/>
    <w:rsid w:val="000A04C9"/>
    <w:rsid w:val="000A0B1A"/>
    <w:rsid w:val="000A0F47"/>
    <w:rsid w:val="000A0FAE"/>
    <w:rsid w:val="000A1345"/>
    <w:rsid w:val="000A1533"/>
    <w:rsid w:val="000A18B6"/>
    <w:rsid w:val="000A1E99"/>
    <w:rsid w:val="000A2AE6"/>
    <w:rsid w:val="000A2E7A"/>
    <w:rsid w:val="000A37C8"/>
    <w:rsid w:val="000A3DD9"/>
    <w:rsid w:val="000A3E40"/>
    <w:rsid w:val="000A40DC"/>
    <w:rsid w:val="000A4185"/>
    <w:rsid w:val="000A430C"/>
    <w:rsid w:val="000A4ACC"/>
    <w:rsid w:val="000A4E4D"/>
    <w:rsid w:val="000A5364"/>
    <w:rsid w:val="000A5803"/>
    <w:rsid w:val="000A5A11"/>
    <w:rsid w:val="000A5A16"/>
    <w:rsid w:val="000A5AAA"/>
    <w:rsid w:val="000A6293"/>
    <w:rsid w:val="000A6C67"/>
    <w:rsid w:val="000A7EE3"/>
    <w:rsid w:val="000B00A4"/>
    <w:rsid w:val="000B02C1"/>
    <w:rsid w:val="000B11D5"/>
    <w:rsid w:val="000B1512"/>
    <w:rsid w:val="000B1E75"/>
    <w:rsid w:val="000B1FF5"/>
    <w:rsid w:val="000B2C65"/>
    <w:rsid w:val="000B4506"/>
    <w:rsid w:val="000B4D6B"/>
    <w:rsid w:val="000B5305"/>
    <w:rsid w:val="000B562B"/>
    <w:rsid w:val="000B5B7B"/>
    <w:rsid w:val="000B5E97"/>
    <w:rsid w:val="000B624A"/>
    <w:rsid w:val="000B65FE"/>
    <w:rsid w:val="000B665E"/>
    <w:rsid w:val="000B6C13"/>
    <w:rsid w:val="000B6C22"/>
    <w:rsid w:val="000B6EA2"/>
    <w:rsid w:val="000B718E"/>
    <w:rsid w:val="000B73A1"/>
    <w:rsid w:val="000B7444"/>
    <w:rsid w:val="000B751D"/>
    <w:rsid w:val="000B75AE"/>
    <w:rsid w:val="000B7805"/>
    <w:rsid w:val="000C0314"/>
    <w:rsid w:val="000C0484"/>
    <w:rsid w:val="000C0600"/>
    <w:rsid w:val="000C173A"/>
    <w:rsid w:val="000C1757"/>
    <w:rsid w:val="000C1BCB"/>
    <w:rsid w:val="000C1C63"/>
    <w:rsid w:val="000C249A"/>
    <w:rsid w:val="000C2CDE"/>
    <w:rsid w:val="000C2E10"/>
    <w:rsid w:val="000C357E"/>
    <w:rsid w:val="000C36B0"/>
    <w:rsid w:val="000C373D"/>
    <w:rsid w:val="000C378F"/>
    <w:rsid w:val="000C5519"/>
    <w:rsid w:val="000C6214"/>
    <w:rsid w:val="000C6325"/>
    <w:rsid w:val="000C6339"/>
    <w:rsid w:val="000C68F9"/>
    <w:rsid w:val="000C6B26"/>
    <w:rsid w:val="000C726B"/>
    <w:rsid w:val="000C7A80"/>
    <w:rsid w:val="000C7E51"/>
    <w:rsid w:val="000C7F6A"/>
    <w:rsid w:val="000D032C"/>
    <w:rsid w:val="000D1663"/>
    <w:rsid w:val="000D1A82"/>
    <w:rsid w:val="000D22D0"/>
    <w:rsid w:val="000D323E"/>
    <w:rsid w:val="000D4911"/>
    <w:rsid w:val="000D4A27"/>
    <w:rsid w:val="000D5344"/>
    <w:rsid w:val="000D634E"/>
    <w:rsid w:val="000D6519"/>
    <w:rsid w:val="000D6EBA"/>
    <w:rsid w:val="000D775B"/>
    <w:rsid w:val="000D77A7"/>
    <w:rsid w:val="000D78D6"/>
    <w:rsid w:val="000D7A1F"/>
    <w:rsid w:val="000D7CEF"/>
    <w:rsid w:val="000E07BD"/>
    <w:rsid w:val="000E0D81"/>
    <w:rsid w:val="000E0ECB"/>
    <w:rsid w:val="000E115A"/>
    <w:rsid w:val="000E12E7"/>
    <w:rsid w:val="000E14E3"/>
    <w:rsid w:val="000E179D"/>
    <w:rsid w:val="000E1CFA"/>
    <w:rsid w:val="000E1D27"/>
    <w:rsid w:val="000E1F4C"/>
    <w:rsid w:val="000E2543"/>
    <w:rsid w:val="000E2701"/>
    <w:rsid w:val="000E2749"/>
    <w:rsid w:val="000E2771"/>
    <w:rsid w:val="000E2D69"/>
    <w:rsid w:val="000E2EED"/>
    <w:rsid w:val="000E38EB"/>
    <w:rsid w:val="000E3FB7"/>
    <w:rsid w:val="000E47DD"/>
    <w:rsid w:val="000E48CF"/>
    <w:rsid w:val="000E4CD8"/>
    <w:rsid w:val="000E50D7"/>
    <w:rsid w:val="000E5342"/>
    <w:rsid w:val="000E5383"/>
    <w:rsid w:val="000E5463"/>
    <w:rsid w:val="000E5682"/>
    <w:rsid w:val="000E5B2D"/>
    <w:rsid w:val="000E6041"/>
    <w:rsid w:val="000E63A5"/>
    <w:rsid w:val="000E647D"/>
    <w:rsid w:val="000E660C"/>
    <w:rsid w:val="000E6CAA"/>
    <w:rsid w:val="000E74E0"/>
    <w:rsid w:val="000E7816"/>
    <w:rsid w:val="000E7B03"/>
    <w:rsid w:val="000F0106"/>
    <w:rsid w:val="000F06A3"/>
    <w:rsid w:val="000F1127"/>
    <w:rsid w:val="000F12E3"/>
    <w:rsid w:val="000F13C1"/>
    <w:rsid w:val="000F14F3"/>
    <w:rsid w:val="000F24C4"/>
    <w:rsid w:val="000F28A8"/>
    <w:rsid w:val="000F2B92"/>
    <w:rsid w:val="000F32D3"/>
    <w:rsid w:val="000F37B6"/>
    <w:rsid w:val="000F3B2B"/>
    <w:rsid w:val="000F467C"/>
    <w:rsid w:val="000F4CD4"/>
    <w:rsid w:val="000F54E2"/>
    <w:rsid w:val="000F5C30"/>
    <w:rsid w:val="000F5F99"/>
    <w:rsid w:val="000F61D1"/>
    <w:rsid w:val="000F64BE"/>
    <w:rsid w:val="000F686F"/>
    <w:rsid w:val="000F7FE1"/>
    <w:rsid w:val="0010094A"/>
    <w:rsid w:val="00100BF6"/>
    <w:rsid w:val="0010132C"/>
    <w:rsid w:val="00101C6B"/>
    <w:rsid w:val="001020D6"/>
    <w:rsid w:val="0010277F"/>
    <w:rsid w:val="00103726"/>
    <w:rsid w:val="001037DA"/>
    <w:rsid w:val="00103B76"/>
    <w:rsid w:val="00103D61"/>
    <w:rsid w:val="00103E59"/>
    <w:rsid w:val="00104E49"/>
    <w:rsid w:val="00105CF2"/>
    <w:rsid w:val="001060BD"/>
    <w:rsid w:val="00106C26"/>
    <w:rsid w:val="00106E61"/>
    <w:rsid w:val="00107277"/>
    <w:rsid w:val="001104E8"/>
    <w:rsid w:val="00110585"/>
    <w:rsid w:val="00110F5E"/>
    <w:rsid w:val="00110FC6"/>
    <w:rsid w:val="00110FD1"/>
    <w:rsid w:val="0011179C"/>
    <w:rsid w:val="0011219F"/>
    <w:rsid w:val="0011263A"/>
    <w:rsid w:val="00112A72"/>
    <w:rsid w:val="00112ECE"/>
    <w:rsid w:val="00113288"/>
    <w:rsid w:val="0011386E"/>
    <w:rsid w:val="0011394E"/>
    <w:rsid w:val="00113FD3"/>
    <w:rsid w:val="001152A9"/>
    <w:rsid w:val="00115892"/>
    <w:rsid w:val="00115BB1"/>
    <w:rsid w:val="00116538"/>
    <w:rsid w:val="00116B11"/>
    <w:rsid w:val="001173DD"/>
    <w:rsid w:val="00117889"/>
    <w:rsid w:val="00117E1B"/>
    <w:rsid w:val="00117F67"/>
    <w:rsid w:val="001204A6"/>
    <w:rsid w:val="00120FDB"/>
    <w:rsid w:val="0012282C"/>
    <w:rsid w:val="001229D2"/>
    <w:rsid w:val="00122C72"/>
    <w:rsid w:val="00122E3F"/>
    <w:rsid w:val="0012338F"/>
    <w:rsid w:val="00123628"/>
    <w:rsid w:val="001236D6"/>
    <w:rsid w:val="001241CB"/>
    <w:rsid w:val="0012429E"/>
    <w:rsid w:val="00124330"/>
    <w:rsid w:val="00124668"/>
    <w:rsid w:val="00124788"/>
    <w:rsid w:val="0012485D"/>
    <w:rsid w:val="00124A91"/>
    <w:rsid w:val="001258DF"/>
    <w:rsid w:val="00125E61"/>
    <w:rsid w:val="0012650A"/>
    <w:rsid w:val="0012651F"/>
    <w:rsid w:val="00126D95"/>
    <w:rsid w:val="00127280"/>
    <w:rsid w:val="001276A9"/>
    <w:rsid w:val="001277FF"/>
    <w:rsid w:val="00127C49"/>
    <w:rsid w:val="00130079"/>
    <w:rsid w:val="00130910"/>
    <w:rsid w:val="00130BB6"/>
    <w:rsid w:val="00130FDE"/>
    <w:rsid w:val="00131179"/>
    <w:rsid w:val="0013140C"/>
    <w:rsid w:val="001318F7"/>
    <w:rsid w:val="00131CE4"/>
    <w:rsid w:val="00132035"/>
    <w:rsid w:val="0013255D"/>
    <w:rsid w:val="00132B59"/>
    <w:rsid w:val="00132C98"/>
    <w:rsid w:val="00132E3D"/>
    <w:rsid w:val="001339F7"/>
    <w:rsid w:val="00133D5D"/>
    <w:rsid w:val="00133E4F"/>
    <w:rsid w:val="0013455D"/>
    <w:rsid w:val="001345E4"/>
    <w:rsid w:val="0013499C"/>
    <w:rsid w:val="00135FEE"/>
    <w:rsid w:val="0013608E"/>
    <w:rsid w:val="00136B43"/>
    <w:rsid w:val="00137771"/>
    <w:rsid w:val="00137FBD"/>
    <w:rsid w:val="00140855"/>
    <w:rsid w:val="00140998"/>
    <w:rsid w:val="0014120D"/>
    <w:rsid w:val="00141AB6"/>
    <w:rsid w:val="00141CDA"/>
    <w:rsid w:val="001420C9"/>
    <w:rsid w:val="001424EB"/>
    <w:rsid w:val="001427EA"/>
    <w:rsid w:val="00142F36"/>
    <w:rsid w:val="00143312"/>
    <w:rsid w:val="0014348D"/>
    <w:rsid w:val="00143B90"/>
    <w:rsid w:val="00144549"/>
    <w:rsid w:val="001456C5"/>
    <w:rsid w:val="00146268"/>
    <w:rsid w:val="001467B6"/>
    <w:rsid w:val="00147470"/>
    <w:rsid w:val="0014798E"/>
    <w:rsid w:val="00147B9B"/>
    <w:rsid w:val="00147F06"/>
    <w:rsid w:val="00150039"/>
    <w:rsid w:val="0015039C"/>
    <w:rsid w:val="00150CE2"/>
    <w:rsid w:val="00152E26"/>
    <w:rsid w:val="00152FE9"/>
    <w:rsid w:val="001532B1"/>
    <w:rsid w:val="001532EC"/>
    <w:rsid w:val="00153377"/>
    <w:rsid w:val="00153981"/>
    <w:rsid w:val="00154120"/>
    <w:rsid w:val="00154165"/>
    <w:rsid w:val="00154263"/>
    <w:rsid w:val="00154853"/>
    <w:rsid w:val="00154C58"/>
    <w:rsid w:val="00155376"/>
    <w:rsid w:val="00155417"/>
    <w:rsid w:val="00155749"/>
    <w:rsid w:val="001557B7"/>
    <w:rsid w:val="001558B8"/>
    <w:rsid w:val="00155E15"/>
    <w:rsid w:val="00155EB6"/>
    <w:rsid w:val="00155EFA"/>
    <w:rsid w:val="0015748C"/>
    <w:rsid w:val="00160781"/>
    <w:rsid w:val="001607B0"/>
    <w:rsid w:val="00160DDA"/>
    <w:rsid w:val="00160E01"/>
    <w:rsid w:val="001616A6"/>
    <w:rsid w:val="00161F15"/>
    <w:rsid w:val="0016266D"/>
    <w:rsid w:val="0016273B"/>
    <w:rsid w:val="00162BD6"/>
    <w:rsid w:val="001635A3"/>
    <w:rsid w:val="00164358"/>
    <w:rsid w:val="00164AA9"/>
    <w:rsid w:val="00164C7E"/>
    <w:rsid w:val="00164E3A"/>
    <w:rsid w:val="00165044"/>
    <w:rsid w:val="0016508E"/>
    <w:rsid w:val="001659CF"/>
    <w:rsid w:val="00165D2F"/>
    <w:rsid w:val="00165EB7"/>
    <w:rsid w:val="0016601B"/>
    <w:rsid w:val="001669DF"/>
    <w:rsid w:val="00166B4C"/>
    <w:rsid w:val="0016738B"/>
    <w:rsid w:val="001675DA"/>
    <w:rsid w:val="0016782C"/>
    <w:rsid w:val="0016797C"/>
    <w:rsid w:val="00167A8D"/>
    <w:rsid w:val="00167BA3"/>
    <w:rsid w:val="00170190"/>
    <w:rsid w:val="00170FD2"/>
    <w:rsid w:val="001723F2"/>
    <w:rsid w:val="001724EC"/>
    <w:rsid w:val="00172E7E"/>
    <w:rsid w:val="00172F22"/>
    <w:rsid w:val="0017428E"/>
    <w:rsid w:val="00174B8F"/>
    <w:rsid w:val="00174D14"/>
    <w:rsid w:val="00174E9F"/>
    <w:rsid w:val="001752E2"/>
    <w:rsid w:val="00175E40"/>
    <w:rsid w:val="00175FB5"/>
    <w:rsid w:val="001763AC"/>
    <w:rsid w:val="00176DC2"/>
    <w:rsid w:val="00177817"/>
    <w:rsid w:val="00177AEB"/>
    <w:rsid w:val="001811B5"/>
    <w:rsid w:val="001812DF"/>
    <w:rsid w:val="00182166"/>
    <w:rsid w:val="0018309C"/>
    <w:rsid w:val="00183A9D"/>
    <w:rsid w:val="001843B5"/>
    <w:rsid w:val="001844A9"/>
    <w:rsid w:val="0018455C"/>
    <w:rsid w:val="0018458C"/>
    <w:rsid w:val="00185247"/>
    <w:rsid w:val="00185A65"/>
    <w:rsid w:val="00185FC1"/>
    <w:rsid w:val="001867C9"/>
    <w:rsid w:val="001869A1"/>
    <w:rsid w:val="00187104"/>
    <w:rsid w:val="00187B02"/>
    <w:rsid w:val="00187D5C"/>
    <w:rsid w:val="001903C8"/>
    <w:rsid w:val="0019064B"/>
    <w:rsid w:val="00191187"/>
    <w:rsid w:val="00192811"/>
    <w:rsid w:val="00192E76"/>
    <w:rsid w:val="00193B76"/>
    <w:rsid w:val="00194D13"/>
    <w:rsid w:val="00195886"/>
    <w:rsid w:val="00195963"/>
    <w:rsid w:val="00195BF6"/>
    <w:rsid w:val="00195C26"/>
    <w:rsid w:val="00196314"/>
    <w:rsid w:val="00196316"/>
    <w:rsid w:val="00196342"/>
    <w:rsid w:val="00196713"/>
    <w:rsid w:val="00196D37"/>
    <w:rsid w:val="00197390"/>
    <w:rsid w:val="001A0451"/>
    <w:rsid w:val="001A0D99"/>
    <w:rsid w:val="001A1388"/>
    <w:rsid w:val="001A178E"/>
    <w:rsid w:val="001A1823"/>
    <w:rsid w:val="001A1D4C"/>
    <w:rsid w:val="001A20B3"/>
    <w:rsid w:val="001A29C3"/>
    <w:rsid w:val="001A2CF0"/>
    <w:rsid w:val="001A30B4"/>
    <w:rsid w:val="001A32A1"/>
    <w:rsid w:val="001A3514"/>
    <w:rsid w:val="001A39A0"/>
    <w:rsid w:val="001A6606"/>
    <w:rsid w:val="001A668D"/>
    <w:rsid w:val="001A6712"/>
    <w:rsid w:val="001A6E35"/>
    <w:rsid w:val="001A7987"/>
    <w:rsid w:val="001A7AD7"/>
    <w:rsid w:val="001B031E"/>
    <w:rsid w:val="001B07D8"/>
    <w:rsid w:val="001B0EC5"/>
    <w:rsid w:val="001B0F73"/>
    <w:rsid w:val="001B17E2"/>
    <w:rsid w:val="001B2381"/>
    <w:rsid w:val="001B33BC"/>
    <w:rsid w:val="001B366D"/>
    <w:rsid w:val="001B3EB2"/>
    <w:rsid w:val="001B4068"/>
    <w:rsid w:val="001B4583"/>
    <w:rsid w:val="001B486B"/>
    <w:rsid w:val="001B4EAC"/>
    <w:rsid w:val="001B4FAA"/>
    <w:rsid w:val="001B513D"/>
    <w:rsid w:val="001B5531"/>
    <w:rsid w:val="001B5883"/>
    <w:rsid w:val="001B6254"/>
    <w:rsid w:val="001B6275"/>
    <w:rsid w:val="001B630E"/>
    <w:rsid w:val="001B67FE"/>
    <w:rsid w:val="001B7A7D"/>
    <w:rsid w:val="001C008A"/>
    <w:rsid w:val="001C0143"/>
    <w:rsid w:val="001C0B3F"/>
    <w:rsid w:val="001C0E5A"/>
    <w:rsid w:val="001C17A5"/>
    <w:rsid w:val="001C1E3E"/>
    <w:rsid w:val="001C26E8"/>
    <w:rsid w:val="001C281E"/>
    <w:rsid w:val="001C369C"/>
    <w:rsid w:val="001C38BF"/>
    <w:rsid w:val="001C3B67"/>
    <w:rsid w:val="001C3FA9"/>
    <w:rsid w:val="001C4281"/>
    <w:rsid w:val="001C4800"/>
    <w:rsid w:val="001C4A61"/>
    <w:rsid w:val="001C4E07"/>
    <w:rsid w:val="001C4FC7"/>
    <w:rsid w:val="001C5169"/>
    <w:rsid w:val="001C5B9F"/>
    <w:rsid w:val="001C63BF"/>
    <w:rsid w:val="001C652B"/>
    <w:rsid w:val="001C6EDB"/>
    <w:rsid w:val="001C7496"/>
    <w:rsid w:val="001C79D2"/>
    <w:rsid w:val="001D0B14"/>
    <w:rsid w:val="001D0CCD"/>
    <w:rsid w:val="001D119D"/>
    <w:rsid w:val="001D1391"/>
    <w:rsid w:val="001D1641"/>
    <w:rsid w:val="001D1782"/>
    <w:rsid w:val="001D1A32"/>
    <w:rsid w:val="001D1B99"/>
    <w:rsid w:val="001D2032"/>
    <w:rsid w:val="001D2121"/>
    <w:rsid w:val="001D2D05"/>
    <w:rsid w:val="001D3A1F"/>
    <w:rsid w:val="001D4037"/>
    <w:rsid w:val="001D40E7"/>
    <w:rsid w:val="001D4692"/>
    <w:rsid w:val="001D487A"/>
    <w:rsid w:val="001D4F69"/>
    <w:rsid w:val="001D514A"/>
    <w:rsid w:val="001D57A7"/>
    <w:rsid w:val="001D5DE3"/>
    <w:rsid w:val="001D683D"/>
    <w:rsid w:val="001D69CE"/>
    <w:rsid w:val="001D6E0A"/>
    <w:rsid w:val="001D6E2F"/>
    <w:rsid w:val="001D7059"/>
    <w:rsid w:val="001D7120"/>
    <w:rsid w:val="001E0165"/>
    <w:rsid w:val="001E072C"/>
    <w:rsid w:val="001E0929"/>
    <w:rsid w:val="001E0C66"/>
    <w:rsid w:val="001E0D8B"/>
    <w:rsid w:val="001E12D4"/>
    <w:rsid w:val="001E1B06"/>
    <w:rsid w:val="001E1EFF"/>
    <w:rsid w:val="001E1FF3"/>
    <w:rsid w:val="001E280A"/>
    <w:rsid w:val="001E2A1C"/>
    <w:rsid w:val="001E3103"/>
    <w:rsid w:val="001E328D"/>
    <w:rsid w:val="001E374A"/>
    <w:rsid w:val="001E3DE2"/>
    <w:rsid w:val="001E454F"/>
    <w:rsid w:val="001E496A"/>
    <w:rsid w:val="001E49DE"/>
    <w:rsid w:val="001E4BB5"/>
    <w:rsid w:val="001E4E66"/>
    <w:rsid w:val="001E505D"/>
    <w:rsid w:val="001E5BF5"/>
    <w:rsid w:val="001E5E0D"/>
    <w:rsid w:val="001E6BFE"/>
    <w:rsid w:val="001E7594"/>
    <w:rsid w:val="001E76A6"/>
    <w:rsid w:val="001E7AB5"/>
    <w:rsid w:val="001F02B2"/>
    <w:rsid w:val="001F0784"/>
    <w:rsid w:val="001F0800"/>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8D3"/>
    <w:rsid w:val="0020092B"/>
    <w:rsid w:val="002009DB"/>
    <w:rsid w:val="00200A17"/>
    <w:rsid w:val="002013CD"/>
    <w:rsid w:val="00201F2C"/>
    <w:rsid w:val="00202202"/>
    <w:rsid w:val="002027E3"/>
    <w:rsid w:val="00202804"/>
    <w:rsid w:val="00202A7C"/>
    <w:rsid w:val="00202F1B"/>
    <w:rsid w:val="0020328C"/>
    <w:rsid w:val="00203334"/>
    <w:rsid w:val="00204C78"/>
    <w:rsid w:val="00204C7C"/>
    <w:rsid w:val="00204D50"/>
    <w:rsid w:val="002054BB"/>
    <w:rsid w:val="00205F41"/>
    <w:rsid w:val="00206838"/>
    <w:rsid w:val="002075C6"/>
    <w:rsid w:val="00207D2B"/>
    <w:rsid w:val="0021004D"/>
    <w:rsid w:val="002102F1"/>
    <w:rsid w:val="0021070D"/>
    <w:rsid w:val="00210B1B"/>
    <w:rsid w:val="002111AE"/>
    <w:rsid w:val="0021125A"/>
    <w:rsid w:val="0021166E"/>
    <w:rsid w:val="002116C9"/>
    <w:rsid w:val="00211794"/>
    <w:rsid w:val="00211905"/>
    <w:rsid w:val="00212925"/>
    <w:rsid w:val="0021315D"/>
    <w:rsid w:val="00213637"/>
    <w:rsid w:val="00213AE1"/>
    <w:rsid w:val="00213E49"/>
    <w:rsid w:val="00214BD8"/>
    <w:rsid w:val="00214E94"/>
    <w:rsid w:val="00215009"/>
    <w:rsid w:val="002154C7"/>
    <w:rsid w:val="00215845"/>
    <w:rsid w:val="00216396"/>
    <w:rsid w:val="0021697A"/>
    <w:rsid w:val="00220B91"/>
    <w:rsid w:val="00220F0C"/>
    <w:rsid w:val="00221585"/>
    <w:rsid w:val="00222452"/>
    <w:rsid w:val="00222570"/>
    <w:rsid w:val="0022283B"/>
    <w:rsid w:val="00222C01"/>
    <w:rsid w:val="00223229"/>
    <w:rsid w:val="00223F33"/>
    <w:rsid w:val="0022418D"/>
    <w:rsid w:val="0022485B"/>
    <w:rsid w:val="00224921"/>
    <w:rsid w:val="00224EE8"/>
    <w:rsid w:val="00224FFA"/>
    <w:rsid w:val="00225D4F"/>
    <w:rsid w:val="002261DF"/>
    <w:rsid w:val="0022661C"/>
    <w:rsid w:val="00227241"/>
    <w:rsid w:val="00227DFF"/>
    <w:rsid w:val="00227EC4"/>
    <w:rsid w:val="002306D8"/>
    <w:rsid w:val="002309C4"/>
    <w:rsid w:val="002309F2"/>
    <w:rsid w:val="00231232"/>
    <w:rsid w:val="002322C9"/>
    <w:rsid w:val="00232740"/>
    <w:rsid w:val="002332C7"/>
    <w:rsid w:val="00233B83"/>
    <w:rsid w:val="00234510"/>
    <w:rsid w:val="002349E7"/>
    <w:rsid w:val="00234BE9"/>
    <w:rsid w:val="0023549E"/>
    <w:rsid w:val="00235668"/>
    <w:rsid w:val="00235802"/>
    <w:rsid w:val="00235925"/>
    <w:rsid w:val="002362F3"/>
    <w:rsid w:val="0023643F"/>
    <w:rsid w:val="00236F92"/>
    <w:rsid w:val="0023759B"/>
    <w:rsid w:val="0023783D"/>
    <w:rsid w:val="00237E75"/>
    <w:rsid w:val="00240022"/>
    <w:rsid w:val="0024042C"/>
    <w:rsid w:val="00240B01"/>
    <w:rsid w:val="00242122"/>
    <w:rsid w:val="00242AEE"/>
    <w:rsid w:val="00242B24"/>
    <w:rsid w:val="00242E65"/>
    <w:rsid w:val="00242F68"/>
    <w:rsid w:val="00243BC8"/>
    <w:rsid w:val="00244335"/>
    <w:rsid w:val="00244757"/>
    <w:rsid w:val="00244AE4"/>
    <w:rsid w:val="00244AF5"/>
    <w:rsid w:val="00245357"/>
    <w:rsid w:val="0024568A"/>
    <w:rsid w:val="00245B58"/>
    <w:rsid w:val="00245C9E"/>
    <w:rsid w:val="00245D05"/>
    <w:rsid w:val="00246A38"/>
    <w:rsid w:val="00246B3D"/>
    <w:rsid w:val="00246BC9"/>
    <w:rsid w:val="00246C5D"/>
    <w:rsid w:val="002475CD"/>
    <w:rsid w:val="00247E62"/>
    <w:rsid w:val="00250668"/>
    <w:rsid w:val="00250D2E"/>
    <w:rsid w:val="00250DD1"/>
    <w:rsid w:val="0025100F"/>
    <w:rsid w:val="00251248"/>
    <w:rsid w:val="00251B20"/>
    <w:rsid w:val="00251E4B"/>
    <w:rsid w:val="00252310"/>
    <w:rsid w:val="002527EB"/>
    <w:rsid w:val="002532CE"/>
    <w:rsid w:val="0025341E"/>
    <w:rsid w:val="002536CF"/>
    <w:rsid w:val="00254481"/>
    <w:rsid w:val="0025457F"/>
    <w:rsid w:val="002545D3"/>
    <w:rsid w:val="002553EF"/>
    <w:rsid w:val="0025576D"/>
    <w:rsid w:val="00255EE3"/>
    <w:rsid w:val="002567CF"/>
    <w:rsid w:val="00256DF2"/>
    <w:rsid w:val="00257028"/>
    <w:rsid w:val="002577DF"/>
    <w:rsid w:val="0026001D"/>
    <w:rsid w:val="002603BA"/>
    <w:rsid w:val="002606AA"/>
    <w:rsid w:val="002616A9"/>
    <w:rsid w:val="00261D49"/>
    <w:rsid w:val="002621BD"/>
    <w:rsid w:val="002621C0"/>
    <w:rsid w:val="00262429"/>
    <w:rsid w:val="002629D6"/>
    <w:rsid w:val="00262DB5"/>
    <w:rsid w:val="00262E21"/>
    <w:rsid w:val="00263034"/>
    <w:rsid w:val="00263F0B"/>
    <w:rsid w:val="002640AE"/>
    <w:rsid w:val="002640C4"/>
    <w:rsid w:val="00264D9D"/>
    <w:rsid w:val="002656A8"/>
    <w:rsid w:val="00265C0F"/>
    <w:rsid w:val="00265C38"/>
    <w:rsid w:val="00265C4F"/>
    <w:rsid w:val="00265D65"/>
    <w:rsid w:val="00265E60"/>
    <w:rsid w:val="00265EDE"/>
    <w:rsid w:val="002662E1"/>
    <w:rsid w:val="00266C4C"/>
    <w:rsid w:val="002670B0"/>
    <w:rsid w:val="002673C9"/>
    <w:rsid w:val="002678D3"/>
    <w:rsid w:val="00267B1F"/>
    <w:rsid w:val="002707C7"/>
    <w:rsid w:val="00271844"/>
    <w:rsid w:val="00272371"/>
    <w:rsid w:val="00272BFC"/>
    <w:rsid w:val="00272C55"/>
    <w:rsid w:val="00272E1F"/>
    <w:rsid w:val="00273339"/>
    <w:rsid w:val="00273531"/>
    <w:rsid w:val="002739C8"/>
    <w:rsid w:val="00273CE3"/>
    <w:rsid w:val="00273FB2"/>
    <w:rsid w:val="002746AE"/>
    <w:rsid w:val="00274F28"/>
    <w:rsid w:val="002751E7"/>
    <w:rsid w:val="0027546F"/>
    <w:rsid w:val="00275F4E"/>
    <w:rsid w:val="00275FAC"/>
    <w:rsid w:val="00276A58"/>
    <w:rsid w:val="00276BC4"/>
    <w:rsid w:val="0027741B"/>
    <w:rsid w:val="0027770E"/>
    <w:rsid w:val="00277727"/>
    <w:rsid w:val="00277F31"/>
    <w:rsid w:val="00280B23"/>
    <w:rsid w:val="002814EC"/>
    <w:rsid w:val="00281C6F"/>
    <w:rsid w:val="00281FC0"/>
    <w:rsid w:val="00282A1A"/>
    <w:rsid w:val="00282BBB"/>
    <w:rsid w:val="00283E0E"/>
    <w:rsid w:val="002847D5"/>
    <w:rsid w:val="00284BC8"/>
    <w:rsid w:val="00285352"/>
    <w:rsid w:val="0028554A"/>
    <w:rsid w:val="00286030"/>
    <w:rsid w:val="0028633F"/>
    <w:rsid w:val="0028654A"/>
    <w:rsid w:val="00286ADB"/>
    <w:rsid w:val="00286B4D"/>
    <w:rsid w:val="0028795D"/>
    <w:rsid w:val="00290135"/>
    <w:rsid w:val="002904D3"/>
    <w:rsid w:val="0029068F"/>
    <w:rsid w:val="0029161D"/>
    <w:rsid w:val="00292196"/>
    <w:rsid w:val="00293FCA"/>
    <w:rsid w:val="0029414F"/>
    <w:rsid w:val="0029431B"/>
    <w:rsid w:val="00294446"/>
    <w:rsid w:val="00294634"/>
    <w:rsid w:val="00294AD0"/>
    <w:rsid w:val="00295D07"/>
    <w:rsid w:val="0029623A"/>
    <w:rsid w:val="0029638B"/>
    <w:rsid w:val="00296445"/>
    <w:rsid w:val="0029682A"/>
    <w:rsid w:val="00297191"/>
    <w:rsid w:val="002973BB"/>
    <w:rsid w:val="00297737"/>
    <w:rsid w:val="002A0129"/>
    <w:rsid w:val="002A0705"/>
    <w:rsid w:val="002A0760"/>
    <w:rsid w:val="002A09D0"/>
    <w:rsid w:val="002A0F40"/>
    <w:rsid w:val="002A123A"/>
    <w:rsid w:val="002A17EE"/>
    <w:rsid w:val="002A1A7E"/>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6B18"/>
    <w:rsid w:val="002A6D1B"/>
    <w:rsid w:val="002A70D6"/>
    <w:rsid w:val="002A725F"/>
    <w:rsid w:val="002A7757"/>
    <w:rsid w:val="002A797A"/>
    <w:rsid w:val="002A7B55"/>
    <w:rsid w:val="002B08AC"/>
    <w:rsid w:val="002B1004"/>
    <w:rsid w:val="002B2174"/>
    <w:rsid w:val="002B2925"/>
    <w:rsid w:val="002B2CA0"/>
    <w:rsid w:val="002B2D7C"/>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C54"/>
    <w:rsid w:val="002B6F0F"/>
    <w:rsid w:val="002B6F3A"/>
    <w:rsid w:val="002B76BC"/>
    <w:rsid w:val="002C03D4"/>
    <w:rsid w:val="002C0697"/>
    <w:rsid w:val="002C085E"/>
    <w:rsid w:val="002C0C79"/>
    <w:rsid w:val="002C1893"/>
    <w:rsid w:val="002C1964"/>
    <w:rsid w:val="002C1A3F"/>
    <w:rsid w:val="002C1D31"/>
    <w:rsid w:val="002C2FF6"/>
    <w:rsid w:val="002C31B0"/>
    <w:rsid w:val="002C3295"/>
    <w:rsid w:val="002C3639"/>
    <w:rsid w:val="002C370A"/>
    <w:rsid w:val="002C3866"/>
    <w:rsid w:val="002C3A92"/>
    <w:rsid w:val="002C3FA3"/>
    <w:rsid w:val="002C4732"/>
    <w:rsid w:val="002C4736"/>
    <w:rsid w:val="002C48D1"/>
    <w:rsid w:val="002C50E3"/>
    <w:rsid w:val="002C52A6"/>
    <w:rsid w:val="002C5EF1"/>
    <w:rsid w:val="002C6729"/>
    <w:rsid w:val="002C6E26"/>
    <w:rsid w:val="002C7B63"/>
    <w:rsid w:val="002C7D0B"/>
    <w:rsid w:val="002C7E54"/>
    <w:rsid w:val="002D1021"/>
    <w:rsid w:val="002D1045"/>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282"/>
    <w:rsid w:val="002D63DB"/>
    <w:rsid w:val="002D66AD"/>
    <w:rsid w:val="002D7AB6"/>
    <w:rsid w:val="002D7D08"/>
    <w:rsid w:val="002E0A12"/>
    <w:rsid w:val="002E1190"/>
    <w:rsid w:val="002E1263"/>
    <w:rsid w:val="002E15C6"/>
    <w:rsid w:val="002E165D"/>
    <w:rsid w:val="002E1D87"/>
    <w:rsid w:val="002E1FC3"/>
    <w:rsid w:val="002E2289"/>
    <w:rsid w:val="002E28FD"/>
    <w:rsid w:val="002E2D2E"/>
    <w:rsid w:val="002E2E41"/>
    <w:rsid w:val="002E342F"/>
    <w:rsid w:val="002E4A09"/>
    <w:rsid w:val="002E4D5F"/>
    <w:rsid w:val="002E5086"/>
    <w:rsid w:val="002E5208"/>
    <w:rsid w:val="002E549B"/>
    <w:rsid w:val="002E5894"/>
    <w:rsid w:val="002E58CE"/>
    <w:rsid w:val="002E5DFA"/>
    <w:rsid w:val="002E5F58"/>
    <w:rsid w:val="002E7003"/>
    <w:rsid w:val="002E725A"/>
    <w:rsid w:val="002E7370"/>
    <w:rsid w:val="002E78C6"/>
    <w:rsid w:val="002F0805"/>
    <w:rsid w:val="002F0BDF"/>
    <w:rsid w:val="002F0D74"/>
    <w:rsid w:val="002F0E93"/>
    <w:rsid w:val="002F0F06"/>
    <w:rsid w:val="002F1438"/>
    <w:rsid w:val="002F178E"/>
    <w:rsid w:val="002F17BA"/>
    <w:rsid w:val="002F1993"/>
    <w:rsid w:val="002F1E2C"/>
    <w:rsid w:val="002F2039"/>
    <w:rsid w:val="002F22FF"/>
    <w:rsid w:val="002F3368"/>
    <w:rsid w:val="002F3919"/>
    <w:rsid w:val="002F3D21"/>
    <w:rsid w:val="002F3F44"/>
    <w:rsid w:val="002F492B"/>
    <w:rsid w:val="002F509B"/>
    <w:rsid w:val="002F52E8"/>
    <w:rsid w:val="002F5FB6"/>
    <w:rsid w:val="002F6911"/>
    <w:rsid w:val="002F6BD9"/>
    <w:rsid w:val="002F6BE7"/>
    <w:rsid w:val="002F6F97"/>
    <w:rsid w:val="002F71AA"/>
    <w:rsid w:val="00300129"/>
    <w:rsid w:val="00300329"/>
    <w:rsid w:val="00300834"/>
    <w:rsid w:val="0030089F"/>
    <w:rsid w:val="00301C80"/>
    <w:rsid w:val="003022B1"/>
    <w:rsid w:val="00302843"/>
    <w:rsid w:val="00302D4B"/>
    <w:rsid w:val="003038D0"/>
    <w:rsid w:val="00303946"/>
    <w:rsid w:val="003043E7"/>
    <w:rsid w:val="003045A7"/>
    <w:rsid w:val="00304689"/>
    <w:rsid w:val="00304F8A"/>
    <w:rsid w:val="0030540D"/>
    <w:rsid w:val="00305638"/>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1A0"/>
    <w:rsid w:val="003118A9"/>
    <w:rsid w:val="00311928"/>
    <w:rsid w:val="00311E74"/>
    <w:rsid w:val="003124E0"/>
    <w:rsid w:val="00312962"/>
    <w:rsid w:val="00312A25"/>
    <w:rsid w:val="00312F17"/>
    <w:rsid w:val="00313226"/>
    <w:rsid w:val="0031399D"/>
    <w:rsid w:val="00314DBB"/>
    <w:rsid w:val="00314F95"/>
    <w:rsid w:val="00315188"/>
    <w:rsid w:val="0031534F"/>
    <w:rsid w:val="00315613"/>
    <w:rsid w:val="0031619E"/>
    <w:rsid w:val="003161FA"/>
    <w:rsid w:val="00316317"/>
    <w:rsid w:val="0031667B"/>
    <w:rsid w:val="00316808"/>
    <w:rsid w:val="00316954"/>
    <w:rsid w:val="00316D0D"/>
    <w:rsid w:val="00316E2E"/>
    <w:rsid w:val="00317F69"/>
    <w:rsid w:val="00320F2A"/>
    <w:rsid w:val="0032179D"/>
    <w:rsid w:val="003218F9"/>
    <w:rsid w:val="00321CE2"/>
    <w:rsid w:val="00322715"/>
    <w:rsid w:val="00322B08"/>
    <w:rsid w:val="00322D3E"/>
    <w:rsid w:val="00322EFF"/>
    <w:rsid w:val="00322F44"/>
    <w:rsid w:val="00322FAC"/>
    <w:rsid w:val="003232B7"/>
    <w:rsid w:val="00323686"/>
    <w:rsid w:val="0032385C"/>
    <w:rsid w:val="003241B7"/>
    <w:rsid w:val="00324F89"/>
    <w:rsid w:val="0032598C"/>
    <w:rsid w:val="00325AE5"/>
    <w:rsid w:val="003266E8"/>
    <w:rsid w:val="003268C5"/>
    <w:rsid w:val="00326D6C"/>
    <w:rsid w:val="00326D79"/>
    <w:rsid w:val="00326DCF"/>
    <w:rsid w:val="00327A2D"/>
    <w:rsid w:val="00327AC8"/>
    <w:rsid w:val="00330392"/>
    <w:rsid w:val="00330611"/>
    <w:rsid w:val="00330935"/>
    <w:rsid w:val="00331D7A"/>
    <w:rsid w:val="00332A4D"/>
    <w:rsid w:val="00332E15"/>
    <w:rsid w:val="00332F75"/>
    <w:rsid w:val="00332FDF"/>
    <w:rsid w:val="00332FE4"/>
    <w:rsid w:val="00333238"/>
    <w:rsid w:val="003333AB"/>
    <w:rsid w:val="003339F2"/>
    <w:rsid w:val="00333B23"/>
    <w:rsid w:val="0033410F"/>
    <w:rsid w:val="00334118"/>
    <w:rsid w:val="0033476F"/>
    <w:rsid w:val="00334A13"/>
    <w:rsid w:val="00334FD4"/>
    <w:rsid w:val="003356A2"/>
    <w:rsid w:val="0033587B"/>
    <w:rsid w:val="00335975"/>
    <w:rsid w:val="00335C11"/>
    <w:rsid w:val="00335ED5"/>
    <w:rsid w:val="003372D0"/>
    <w:rsid w:val="0033765F"/>
    <w:rsid w:val="003402B9"/>
    <w:rsid w:val="00340396"/>
    <w:rsid w:val="00340BEE"/>
    <w:rsid w:val="003417E8"/>
    <w:rsid w:val="00341CE9"/>
    <w:rsid w:val="003420A9"/>
    <w:rsid w:val="003420AD"/>
    <w:rsid w:val="00342F5B"/>
    <w:rsid w:val="00343691"/>
    <w:rsid w:val="00343709"/>
    <w:rsid w:val="00343A58"/>
    <w:rsid w:val="00343CFA"/>
    <w:rsid w:val="00344D88"/>
    <w:rsid w:val="00345277"/>
    <w:rsid w:val="003460B0"/>
    <w:rsid w:val="0034625D"/>
    <w:rsid w:val="00346564"/>
    <w:rsid w:val="00346591"/>
    <w:rsid w:val="003465FE"/>
    <w:rsid w:val="00346731"/>
    <w:rsid w:val="00346963"/>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BAB"/>
    <w:rsid w:val="00353EE0"/>
    <w:rsid w:val="00354830"/>
    <w:rsid w:val="00354EE2"/>
    <w:rsid w:val="00354F51"/>
    <w:rsid w:val="0035642B"/>
    <w:rsid w:val="0035663B"/>
    <w:rsid w:val="00356C0B"/>
    <w:rsid w:val="00357610"/>
    <w:rsid w:val="003576A0"/>
    <w:rsid w:val="00357E1E"/>
    <w:rsid w:val="003604AC"/>
    <w:rsid w:val="00360D26"/>
    <w:rsid w:val="00361019"/>
    <w:rsid w:val="003614E5"/>
    <w:rsid w:val="00361919"/>
    <w:rsid w:val="00361D75"/>
    <w:rsid w:val="00362051"/>
    <w:rsid w:val="00362161"/>
    <w:rsid w:val="00362968"/>
    <w:rsid w:val="00362AC4"/>
    <w:rsid w:val="0036322E"/>
    <w:rsid w:val="0036328D"/>
    <w:rsid w:val="0036345D"/>
    <w:rsid w:val="00363F0A"/>
    <w:rsid w:val="00364266"/>
    <w:rsid w:val="003645DC"/>
    <w:rsid w:val="00364BE2"/>
    <w:rsid w:val="00364CE7"/>
    <w:rsid w:val="00364DD7"/>
    <w:rsid w:val="003651D8"/>
    <w:rsid w:val="00365C16"/>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ED1"/>
    <w:rsid w:val="003744B1"/>
    <w:rsid w:val="003747E1"/>
    <w:rsid w:val="00374B1C"/>
    <w:rsid w:val="00374B96"/>
    <w:rsid w:val="0037528A"/>
    <w:rsid w:val="003755BB"/>
    <w:rsid w:val="003757B4"/>
    <w:rsid w:val="003758F0"/>
    <w:rsid w:val="00375B54"/>
    <w:rsid w:val="00375C54"/>
    <w:rsid w:val="00375C9A"/>
    <w:rsid w:val="00375CED"/>
    <w:rsid w:val="00375E9E"/>
    <w:rsid w:val="003767BC"/>
    <w:rsid w:val="00376914"/>
    <w:rsid w:val="00377692"/>
    <w:rsid w:val="0037773F"/>
    <w:rsid w:val="0037774C"/>
    <w:rsid w:val="0037778D"/>
    <w:rsid w:val="003777F9"/>
    <w:rsid w:val="00377AE6"/>
    <w:rsid w:val="00380514"/>
    <w:rsid w:val="0038185C"/>
    <w:rsid w:val="003822ED"/>
    <w:rsid w:val="00382C6A"/>
    <w:rsid w:val="00382F4C"/>
    <w:rsid w:val="0038312F"/>
    <w:rsid w:val="003832B6"/>
    <w:rsid w:val="00383451"/>
    <w:rsid w:val="00383F6C"/>
    <w:rsid w:val="00384355"/>
    <w:rsid w:val="00384DA6"/>
    <w:rsid w:val="00384DD1"/>
    <w:rsid w:val="00384DF8"/>
    <w:rsid w:val="00385190"/>
    <w:rsid w:val="00385CEC"/>
    <w:rsid w:val="00385E93"/>
    <w:rsid w:val="00386BD5"/>
    <w:rsid w:val="00387735"/>
    <w:rsid w:val="003878E6"/>
    <w:rsid w:val="003909ED"/>
    <w:rsid w:val="00390D92"/>
    <w:rsid w:val="00390FBE"/>
    <w:rsid w:val="0039113F"/>
    <w:rsid w:val="003911D5"/>
    <w:rsid w:val="003915AE"/>
    <w:rsid w:val="00391738"/>
    <w:rsid w:val="00391E73"/>
    <w:rsid w:val="00392100"/>
    <w:rsid w:val="0039224F"/>
    <w:rsid w:val="00392390"/>
    <w:rsid w:val="00392682"/>
    <w:rsid w:val="003927D8"/>
    <w:rsid w:val="00392F37"/>
    <w:rsid w:val="003949E5"/>
    <w:rsid w:val="00394B4B"/>
    <w:rsid w:val="00395315"/>
    <w:rsid w:val="00395852"/>
    <w:rsid w:val="00395879"/>
    <w:rsid w:val="00395E30"/>
    <w:rsid w:val="00396D6A"/>
    <w:rsid w:val="00397232"/>
    <w:rsid w:val="0039746E"/>
    <w:rsid w:val="00397663"/>
    <w:rsid w:val="00397CF8"/>
    <w:rsid w:val="00397F41"/>
    <w:rsid w:val="003A062B"/>
    <w:rsid w:val="003A06F4"/>
    <w:rsid w:val="003A071F"/>
    <w:rsid w:val="003A0E26"/>
    <w:rsid w:val="003A1059"/>
    <w:rsid w:val="003A19EF"/>
    <w:rsid w:val="003A1E15"/>
    <w:rsid w:val="003A27F2"/>
    <w:rsid w:val="003A2DF4"/>
    <w:rsid w:val="003A3454"/>
    <w:rsid w:val="003A399E"/>
    <w:rsid w:val="003A497E"/>
    <w:rsid w:val="003A4FD0"/>
    <w:rsid w:val="003A5195"/>
    <w:rsid w:val="003A5C07"/>
    <w:rsid w:val="003A6B56"/>
    <w:rsid w:val="003A6F72"/>
    <w:rsid w:val="003A70DC"/>
    <w:rsid w:val="003A7A3C"/>
    <w:rsid w:val="003A7DE4"/>
    <w:rsid w:val="003A7EF9"/>
    <w:rsid w:val="003B0490"/>
    <w:rsid w:val="003B09FE"/>
    <w:rsid w:val="003B0EA1"/>
    <w:rsid w:val="003B1F91"/>
    <w:rsid w:val="003B22B5"/>
    <w:rsid w:val="003B230C"/>
    <w:rsid w:val="003B244D"/>
    <w:rsid w:val="003B327F"/>
    <w:rsid w:val="003B3FA6"/>
    <w:rsid w:val="003B4354"/>
    <w:rsid w:val="003B4478"/>
    <w:rsid w:val="003B5133"/>
    <w:rsid w:val="003B562A"/>
    <w:rsid w:val="003B5746"/>
    <w:rsid w:val="003B5B81"/>
    <w:rsid w:val="003B63DB"/>
    <w:rsid w:val="003B65F7"/>
    <w:rsid w:val="003B7195"/>
    <w:rsid w:val="003B7D67"/>
    <w:rsid w:val="003B7ED4"/>
    <w:rsid w:val="003B7FEB"/>
    <w:rsid w:val="003C0789"/>
    <w:rsid w:val="003C089B"/>
    <w:rsid w:val="003C0B91"/>
    <w:rsid w:val="003C100E"/>
    <w:rsid w:val="003C1184"/>
    <w:rsid w:val="003C237A"/>
    <w:rsid w:val="003C2CA7"/>
    <w:rsid w:val="003C3A8F"/>
    <w:rsid w:val="003C3B76"/>
    <w:rsid w:val="003C4170"/>
    <w:rsid w:val="003C4457"/>
    <w:rsid w:val="003C4DB6"/>
    <w:rsid w:val="003C4E03"/>
    <w:rsid w:val="003C6629"/>
    <w:rsid w:val="003C693F"/>
    <w:rsid w:val="003C6CF6"/>
    <w:rsid w:val="003C7434"/>
    <w:rsid w:val="003C77EA"/>
    <w:rsid w:val="003D0084"/>
    <w:rsid w:val="003D05E8"/>
    <w:rsid w:val="003D0A4B"/>
    <w:rsid w:val="003D14B4"/>
    <w:rsid w:val="003D325D"/>
    <w:rsid w:val="003D3AF4"/>
    <w:rsid w:val="003D42FD"/>
    <w:rsid w:val="003D4E9F"/>
    <w:rsid w:val="003D5109"/>
    <w:rsid w:val="003D55D0"/>
    <w:rsid w:val="003D64B2"/>
    <w:rsid w:val="003D692F"/>
    <w:rsid w:val="003D70F8"/>
    <w:rsid w:val="003D74CA"/>
    <w:rsid w:val="003D76BB"/>
    <w:rsid w:val="003D7E7A"/>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600"/>
    <w:rsid w:val="003E4A05"/>
    <w:rsid w:val="003E5368"/>
    <w:rsid w:val="003E6244"/>
    <w:rsid w:val="003E6460"/>
    <w:rsid w:val="003E6AB8"/>
    <w:rsid w:val="003E6B75"/>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164"/>
    <w:rsid w:val="003F72E3"/>
    <w:rsid w:val="003F7859"/>
    <w:rsid w:val="003F79DC"/>
    <w:rsid w:val="003F7F6A"/>
    <w:rsid w:val="00400919"/>
    <w:rsid w:val="00400BA9"/>
    <w:rsid w:val="00400EF6"/>
    <w:rsid w:val="0040101A"/>
    <w:rsid w:val="00401661"/>
    <w:rsid w:val="00401D0F"/>
    <w:rsid w:val="004020E5"/>
    <w:rsid w:val="00402278"/>
    <w:rsid w:val="00402538"/>
    <w:rsid w:val="004029D2"/>
    <w:rsid w:val="004032A5"/>
    <w:rsid w:val="004035DB"/>
    <w:rsid w:val="00403A4E"/>
    <w:rsid w:val="00404091"/>
    <w:rsid w:val="004044F4"/>
    <w:rsid w:val="0040458D"/>
    <w:rsid w:val="00404C09"/>
    <w:rsid w:val="004052DC"/>
    <w:rsid w:val="00405441"/>
    <w:rsid w:val="00405905"/>
    <w:rsid w:val="00405AAD"/>
    <w:rsid w:val="00405DB9"/>
    <w:rsid w:val="00405F40"/>
    <w:rsid w:val="004063EC"/>
    <w:rsid w:val="0040641D"/>
    <w:rsid w:val="004064D8"/>
    <w:rsid w:val="00407263"/>
    <w:rsid w:val="0040773B"/>
    <w:rsid w:val="00407BA3"/>
    <w:rsid w:val="00407C84"/>
    <w:rsid w:val="00407FD9"/>
    <w:rsid w:val="00410176"/>
    <w:rsid w:val="00410BD7"/>
    <w:rsid w:val="00410EE8"/>
    <w:rsid w:val="004112B0"/>
    <w:rsid w:val="0041152B"/>
    <w:rsid w:val="00411603"/>
    <w:rsid w:val="004119BA"/>
    <w:rsid w:val="004120A5"/>
    <w:rsid w:val="00412833"/>
    <w:rsid w:val="00412BF1"/>
    <w:rsid w:val="00412CEB"/>
    <w:rsid w:val="00412D99"/>
    <w:rsid w:val="004134B0"/>
    <w:rsid w:val="004145E5"/>
    <w:rsid w:val="00414638"/>
    <w:rsid w:val="00415E7B"/>
    <w:rsid w:val="00416006"/>
    <w:rsid w:val="00417173"/>
    <w:rsid w:val="0041739D"/>
    <w:rsid w:val="004173B0"/>
    <w:rsid w:val="00417A2D"/>
    <w:rsid w:val="00417EDB"/>
    <w:rsid w:val="00420647"/>
    <w:rsid w:val="00421445"/>
    <w:rsid w:val="0042158B"/>
    <w:rsid w:val="00421716"/>
    <w:rsid w:val="004217FC"/>
    <w:rsid w:val="00422188"/>
    <w:rsid w:val="004227ED"/>
    <w:rsid w:val="004229E5"/>
    <w:rsid w:val="00422B4D"/>
    <w:rsid w:val="00422E0C"/>
    <w:rsid w:val="004230BD"/>
    <w:rsid w:val="004232E8"/>
    <w:rsid w:val="00423E45"/>
    <w:rsid w:val="0042420D"/>
    <w:rsid w:val="00424D1A"/>
    <w:rsid w:val="00424ECB"/>
    <w:rsid w:val="004251C0"/>
    <w:rsid w:val="004252FF"/>
    <w:rsid w:val="0042569A"/>
    <w:rsid w:val="0042667C"/>
    <w:rsid w:val="00426C32"/>
    <w:rsid w:val="004275DA"/>
    <w:rsid w:val="004277E5"/>
    <w:rsid w:val="0043094C"/>
    <w:rsid w:val="00430BD4"/>
    <w:rsid w:val="00431FE6"/>
    <w:rsid w:val="004334AB"/>
    <w:rsid w:val="00433857"/>
    <w:rsid w:val="004339AD"/>
    <w:rsid w:val="00433B87"/>
    <w:rsid w:val="00433D2D"/>
    <w:rsid w:val="004343E8"/>
    <w:rsid w:val="004347BB"/>
    <w:rsid w:val="0043486B"/>
    <w:rsid w:val="004352E5"/>
    <w:rsid w:val="004354F9"/>
    <w:rsid w:val="00435E07"/>
    <w:rsid w:val="004369B0"/>
    <w:rsid w:val="00436F2B"/>
    <w:rsid w:val="00436F30"/>
    <w:rsid w:val="00436FF0"/>
    <w:rsid w:val="004370D0"/>
    <w:rsid w:val="00437153"/>
    <w:rsid w:val="00437616"/>
    <w:rsid w:val="00437D55"/>
    <w:rsid w:val="0044099E"/>
    <w:rsid w:val="00440C7C"/>
    <w:rsid w:val="00440DC9"/>
    <w:rsid w:val="00440F4B"/>
    <w:rsid w:val="0044122B"/>
    <w:rsid w:val="00441989"/>
    <w:rsid w:val="00441EFC"/>
    <w:rsid w:val="00442796"/>
    <w:rsid w:val="00442A2B"/>
    <w:rsid w:val="00443363"/>
    <w:rsid w:val="0044371C"/>
    <w:rsid w:val="00444BA1"/>
    <w:rsid w:val="00444ECC"/>
    <w:rsid w:val="00445342"/>
    <w:rsid w:val="004458AC"/>
    <w:rsid w:val="00445957"/>
    <w:rsid w:val="00445DF1"/>
    <w:rsid w:val="00446316"/>
    <w:rsid w:val="004465DD"/>
    <w:rsid w:val="004467E3"/>
    <w:rsid w:val="00447798"/>
    <w:rsid w:val="004479ED"/>
    <w:rsid w:val="00447CB3"/>
    <w:rsid w:val="00447CBD"/>
    <w:rsid w:val="00447D25"/>
    <w:rsid w:val="00447FAA"/>
    <w:rsid w:val="004503A5"/>
    <w:rsid w:val="004506C1"/>
    <w:rsid w:val="00450E1D"/>
    <w:rsid w:val="00451198"/>
    <w:rsid w:val="0045143C"/>
    <w:rsid w:val="00451A98"/>
    <w:rsid w:val="00451EAE"/>
    <w:rsid w:val="004521A4"/>
    <w:rsid w:val="0045247E"/>
    <w:rsid w:val="004528D4"/>
    <w:rsid w:val="00452C39"/>
    <w:rsid w:val="00452C8E"/>
    <w:rsid w:val="00452E09"/>
    <w:rsid w:val="0045327F"/>
    <w:rsid w:val="00453430"/>
    <w:rsid w:val="004535BF"/>
    <w:rsid w:val="00453785"/>
    <w:rsid w:val="00453A26"/>
    <w:rsid w:val="00453C96"/>
    <w:rsid w:val="004541D7"/>
    <w:rsid w:val="004547E5"/>
    <w:rsid w:val="00454F5F"/>
    <w:rsid w:val="00456261"/>
    <w:rsid w:val="00456542"/>
    <w:rsid w:val="0045681F"/>
    <w:rsid w:val="00456A61"/>
    <w:rsid w:val="0045744F"/>
    <w:rsid w:val="004574BE"/>
    <w:rsid w:val="004576EB"/>
    <w:rsid w:val="00457936"/>
    <w:rsid w:val="00457DB6"/>
    <w:rsid w:val="0046006F"/>
    <w:rsid w:val="00460F68"/>
    <w:rsid w:val="0046133B"/>
    <w:rsid w:val="00461597"/>
    <w:rsid w:val="00461719"/>
    <w:rsid w:val="0046272A"/>
    <w:rsid w:val="00462F79"/>
    <w:rsid w:val="004631EA"/>
    <w:rsid w:val="00463762"/>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310"/>
    <w:rsid w:val="004724F4"/>
    <w:rsid w:val="00472AD5"/>
    <w:rsid w:val="00473091"/>
    <w:rsid w:val="00473110"/>
    <w:rsid w:val="00474079"/>
    <w:rsid w:val="004746EB"/>
    <w:rsid w:val="0047518D"/>
    <w:rsid w:val="0047534F"/>
    <w:rsid w:val="00475503"/>
    <w:rsid w:val="0047597B"/>
    <w:rsid w:val="00475F12"/>
    <w:rsid w:val="0047631E"/>
    <w:rsid w:val="004765A7"/>
    <w:rsid w:val="00476C71"/>
    <w:rsid w:val="004775C7"/>
    <w:rsid w:val="00477E8E"/>
    <w:rsid w:val="00480040"/>
    <w:rsid w:val="00480775"/>
    <w:rsid w:val="00480852"/>
    <w:rsid w:val="004811B1"/>
    <w:rsid w:val="00481970"/>
    <w:rsid w:val="0048247D"/>
    <w:rsid w:val="00483201"/>
    <w:rsid w:val="004836D1"/>
    <w:rsid w:val="00483A90"/>
    <w:rsid w:val="00484092"/>
    <w:rsid w:val="00484442"/>
    <w:rsid w:val="00484567"/>
    <w:rsid w:val="004850EC"/>
    <w:rsid w:val="00485EF9"/>
    <w:rsid w:val="004874A3"/>
    <w:rsid w:val="004876C3"/>
    <w:rsid w:val="004876D6"/>
    <w:rsid w:val="0049061A"/>
    <w:rsid w:val="00490956"/>
    <w:rsid w:val="004909A3"/>
    <w:rsid w:val="004912AA"/>
    <w:rsid w:val="00491FA7"/>
    <w:rsid w:val="004927B9"/>
    <w:rsid w:val="004929C1"/>
    <w:rsid w:val="004929D8"/>
    <w:rsid w:val="00493755"/>
    <w:rsid w:val="00493E00"/>
    <w:rsid w:val="004948AA"/>
    <w:rsid w:val="00494A56"/>
    <w:rsid w:val="00494ED2"/>
    <w:rsid w:val="00495419"/>
    <w:rsid w:val="00495F0B"/>
    <w:rsid w:val="00496135"/>
    <w:rsid w:val="00496CCA"/>
    <w:rsid w:val="00496D37"/>
    <w:rsid w:val="00496FD6"/>
    <w:rsid w:val="00497B18"/>
    <w:rsid w:val="00497BE2"/>
    <w:rsid w:val="004A0BAD"/>
    <w:rsid w:val="004A13C5"/>
    <w:rsid w:val="004A275B"/>
    <w:rsid w:val="004A2A85"/>
    <w:rsid w:val="004A2AD9"/>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0EC"/>
    <w:rsid w:val="004B325D"/>
    <w:rsid w:val="004B3A12"/>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EE1"/>
    <w:rsid w:val="004C028D"/>
    <w:rsid w:val="004C0385"/>
    <w:rsid w:val="004C0460"/>
    <w:rsid w:val="004C1116"/>
    <w:rsid w:val="004C1346"/>
    <w:rsid w:val="004C1641"/>
    <w:rsid w:val="004C170A"/>
    <w:rsid w:val="004C1960"/>
    <w:rsid w:val="004C1AFB"/>
    <w:rsid w:val="004C1FAE"/>
    <w:rsid w:val="004C20C3"/>
    <w:rsid w:val="004C2FA4"/>
    <w:rsid w:val="004C328F"/>
    <w:rsid w:val="004C3678"/>
    <w:rsid w:val="004C3EBF"/>
    <w:rsid w:val="004C428F"/>
    <w:rsid w:val="004C53C1"/>
    <w:rsid w:val="004C5653"/>
    <w:rsid w:val="004C5DCA"/>
    <w:rsid w:val="004C5FB9"/>
    <w:rsid w:val="004C5FBD"/>
    <w:rsid w:val="004C6BBA"/>
    <w:rsid w:val="004C7117"/>
    <w:rsid w:val="004C774F"/>
    <w:rsid w:val="004C7F59"/>
    <w:rsid w:val="004D075B"/>
    <w:rsid w:val="004D0D2C"/>
    <w:rsid w:val="004D2149"/>
    <w:rsid w:val="004D2316"/>
    <w:rsid w:val="004D2472"/>
    <w:rsid w:val="004D28A8"/>
    <w:rsid w:val="004D2ADA"/>
    <w:rsid w:val="004D30BF"/>
    <w:rsid w:val="004D4954"/>
    <w:rsid w:val="004D52AD"/>
    <w:rsid w:val="004D5720"/>
    <w:rsid w:val="004D5848"/>
    <w:rsid w:val="004D58A6"/>
    <w:rsid w:val="004D59D8"/>
    <w:rsid w:val="004D5D3E"/>
    <w:rsid w:val="004D5DB9"/>
    <w:rsid w:val="004D60B6"/>
    <w:rsid w:val="004D6101"/>
    <w:rsid w:val="004D6CB3"/>
    <w:rsid w:val="004D6DCB"/>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08A"/>
    <w:rsid w:val="004E5B93"/>
    <w:rsid w:val="004E5C3E"/>
    <w:rsid w:val="004E6265"/>
    <w:rsid w:val="004E643A"/>
    <w:rsid w:val="004E6A91"/>
    <w:rsid w:val="004E6BD2"/>
    <w:rsid w:val="004E6C13"/>
    <w:rsid w:val="004E7374"/>
    <w:rsid w:val="004E752D"/>
    <w:rsid w:val="004F08A6"/>
    <w:rsid w:val="004F0A9C"/>
    <w:rsid w:val="004F0AAF"/>
    <w:rsid w:val="004F0B34"/>
    <w:rsid w:val="004F177D"/>
    <w:rsid w:val="004F208E"/>
    <w:rsid w:val="004F20D5"/>
    <w:rsid w:val="004F24EC"/>
    <w:rsid w:val="004F27FB"/>
    <w:rsid w:val="004F2E19"/>
    <w:rsid w:val="004F3159"/>
    <w:rsid w:val="004F35A7"/>
    <w:rsid w:val="004F38CF"/>
    <w:rsid w:val="004F40CD"/>
    <w:rsid w:val="004F4115"/>
    <w:rsid w:val="004F44CC"/>
    <w:rsid w:val="004F4FD7"/>
    <w:rsid w:val="004F550D"/>
    <w:rsid w:val="004F567A"/>
    <w:rsid w:val="004F5727"/>
    <w:rsid w:val="004F5BC7"/>
    <w:rsid w:val="004F60BF"/>
    <w:rsid w:val="004F69A1"/>
    <w:rsid w:val="004F6ABF"/>
    <w:rsid w:val="004F6B62"/>
    <w:rsid w:val="004F7C73"/>
    <w:rsid w:val="005006F0"/>
    <w:rsid w:val="005013FE"/>
    <w:rsid w:val="00501C13"/>
    <w:rsid w:val="005025D8"/>
    <w:rsid w:val="00502C02"/>
    <w:rsid w:val="00502E52"/>
    <w:rsid w:val="00502FD7"/>
    <w:rsid w:val="00503147"/>
    <w:rsid w:val="00503985"/>
    <w:rsid w:val="00503B37"/>
    <w:rsid w:val="00503DC5"/>
    <w:rsid w:val="00503F29"/>
    <w:rsid w:val="00503FAC"/>
    <w:rsid w:val="0050474F"/>
    <w:rsid w:val="005055BC"/>
    <w:rsid w:val="005060BE"/>
    <w:rsid w:val="00506371"/>
    <w:rsid w:val="005068B1"/>
    <w:rsid w:val="0050693B"/>
    <w:rsid w:val="00506ACF"/>
    <w:rsid w:val="005077C6"/>
    <w:rsid w:val="005078F1"/>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04"/>
    <w:rsid w:val="00517DF0"/>
    <w:rsid w:val="005201C6"/>
    <w:rsid w:val="005201F8"/>
    <w:rsid w:val="0052028F"/>
    <w:rsid w:val="005207C0"/>
    <w:rsid w:val="00520A3A"/>
    <w:rsid w:val="00521736"/>
    <w:rsid w:val="00521818"/>
    <w:rsid w:val="00521AC8"/>
    <w:rsid w:val="00521F66"/>
    <w:rsid w:val="005220FE"/>
    <w:rsid w:val="005228E2"/>
    <w:rsid w:val="0052369D"/>
    <w:rsid w:val="00523798"/>
    <w:rsid w:val="00523A9C"/>
    <w:rsid w:val="00524C89"/>
    <w:rsid w:val="0052580F"/>
    <w:rsid w:val="00525A83"/>
    <w:rsid w:val="00525A97"/>
    <w:rsid w:val="00525C9A"/>
    <w:rsid w:val="00525E52"/>
    <w:rsid w:val="005271C8"/>
    <w:rsid w:val="00527279"/>
    <w:rsid w:val="005272A4"/>
    <w:rsid w:val="00527484"/>
    <w:rsid w:val="00527A2F"/>
    <w:rsid w:val="00530065"/>
    <w:rsid w:val="0053061B"/>
    <w:rsid w:val="00530D23"/>
    <w:rsid w:val="005312D9"/>
    <w:rsid w:val="0053273E"/>
    <w:rsid w:val="00533A6B"/>
    <w:rsid w:val="00533AA8"/>
    <w:rsid w:val="0053408B"/>
    <w:rsid w:val="00534447"/>
    <w:rsid w:val="00534878"/>
    <w:rsid w:val="00536884"/>
    <w:rsid w:val="00536D5E"/>
    <w:rsid w:val="00536FED"/>
    <w:rsid w:val="00537089"/>
    <w:rsid w:val="005372DB"/>
    <w:rsid w:val="00537840"/>
    <w:rsid w:val="005379F4"/>
    <w:rsid w:val="00540626"/>
    <w:rsid w:val="00540665"/>
    <w:rsid w:val="00540A22"/>
    <w:rsid w:val="00540CF5"/>
    <w:rsid w:val="00540F13"/>
    <w:rsid w:val="00540FBE"/>
    <w:rsid w:val="00541174"/>
    <w:rsid w:val="0054134F"/>
    <w:rsid w:val="00541394"/>
    <w:rsid w:val="005414D3"/>
    <w:rsid w:val="0054187D"/>
    <w:rsid w:val="00541F28"/>
    <w:rsid w:val="00542977"/>
    <w:rsid w:val="00542ACB"/>
    <w:rsid w:val="00542D19"/>
    <w:rsid w:val="00543592"/>
    <w:rsid w:val="005436B6"/>
    <w:rsid w:val="005437D6"/>
    <w:rsid w:val="00543920"/>
    <w:rsid w:val="0054482E"/>
    <w:rsid w:val="00544C3B"/>
    <w:rsid w:val="00544E52"/>
    <w:rsid w:val="0054503F"/>
    <w:rsid w:val="00545511"/>
    <w:rsid w:val="00545ADA"/>
    <w:rsid w:val="00545CC2"/>
    <w:rsid w:val="0054675C"/>
    <w:rsid w:val="00546880"/>
    <w:rsid w:val="0054702B"/>
    <w:rsid w:val="005472AE"/>
    <w:rsid w:val="005474AA"/>
    <w:rsid w:val="0055020C"/>
    <w:rsid w:val="005506B5"/>
    <w:rsid w:val="00551425"/>
    <w:rsid w:val="00551617"/>
    <w:rsid w:val="005518FA"/>
    <w:rsid w:val="00551A0C"/>
    <w:rsid w:val="00551AC0"/>
    <w:rsid w:val="0055203B"/>
    <w:rsid w:val="00552075"/>
    <w:rsid w:val="005524AE"/>
    <w:rsid w:val="00552629"/>
    <w:rsid w:val="00552E6F"/>
    <w:rsid w:val="00552FF9"/>
    <w:rsid w:val="0055308A"/>
    <w:rsid w:val="00553138"/>
    <w:rsid w:val="005534D5"/>
    <w:rsid w:val="0055382F"/>
    <w:rsid w:val="00553AF8"/>
    <w:rsid w:val="00553B60"/>
    <w:rsid w:val="00553DCE"/>
    <w:rsid w:val="00554066"/>
    <w:rsid w:val="00554A31"/>
    <w:rsid w:val="00554E6A"/>
    <w:rsid w:val="0055549C"/>
    <w:rsid w:val="005557FE"/>
    <w:rsid w:val="00556C29"/>
    <w:rsid w:val="00557138"/>
    <w:rsid w:val="00557285"/>
    <w:rsid w:val="0055785A"/>
    <w:rsid w:val="00557CC6"/>
    <w:rsid w:val="0056088F"/>
    <w:rsid w:val="00560B80"/>
    <w:rsid w:val="00560DC7"/>
    <w:rsid w:val="00561431"/>
    <w:rsid w:val="00561607"/>
    <w:rsid w:val="005618B5"/>
    <w:rsid w:val="00561B6F"/>
    <w:rsid w:val="00562243"/>
    <w:rsid w:val="00562A4F"/>
    <w:rsid w:val="00562BF9"/>
    <w:rsid w:val="0056354D"/>
    <w:rsid w:val="0056372F"/>
    <w:rsid w:val="00563F22"/>
    <w:rsid w:val="00564987"/>
    <w:rsid w:val="005649A2"/>
    <w:rsid w:val="00564BC8"/>
    <w:rsid w:val="00564FDB"/>
    <w:rsid w:val="00565F14"/>
    <w:rsid w:val="00565F71"/>
    <w:rsid w:val="00566090"/>
    <w:rsid w:val="00566804"/>
    <w:rsid w:val="005668B3"/>
    <w:rsid w:val="00566AAA"/>
    <w:rsid w:val="00567143"/>
    <w:rsid w:val="005676FB"/>
    <w:rsid w:val="00567F8D"/>
    <w:rsid w:val="005700AD"/>
    <w:rsid w:val="005705F6"/>
    <w:rsid w:val="005707B9"/>
    <w:rsid w:val="00570A09"/>
    <w:rsid w:val="00570DE9"/>
    <w:rsid w:val="00570F82"/>
    <w:rsid w:val="00571056"/>
    <w:rsid w:val="00571AF7"/>
    <w:rsid w:val="00571CD0"/>
    <w:rsid w:val="0057261E"/>
    <w:rsid w:val="00572ED2"/>
    <w:rsid w:val="00572F2A"/>
    <w:rsid w:val="005730A8"/>
    <w:rsid w:val="005735CB"/>
    <w:rsid w:val="005739E8"/>
    <w:rsid w:val="00573A50"/>
    <w:rsid w:val="0057432F"/>
    <w:rsid w:val="00574DD7"/>
    <w:rsid w:val="00574F17"/>
    <w:rsid w:val="00575522"/>
    <w:rsid w:val="0057598F"/>
    <w:rsid w:val="00575BCF"/>
    <w:rsid w:val="0057652C"/>
    <w:rsid w:val="0057656D"/>
    <w:rsid w:val="00576CDE"/>
    <w:rsid w:val="005773E1"/>
    <w:rsid w:val="00577A4C"/>
    <w:rsid w:val="00577C94"/>
    <w:rsid w:val="00577E58"/>
    <w:rsid w:val="00580198"/>
    <w:rsid w:val="005824D6"/>
    <w:rsid w:val="00582B40"/>
    <w:rsid w:val="00582E4C"/>
    <w:rsid w:val="005836B1"/>
    <w:rsid w:val="005837A1"/>
    <w:rsid w:val="005837EF"/>
    <w:rsid w:val="00583925"/>
    <w:rsid w:val="005843C4"/>
    <w:rsid w:val="00584F6A"/>
    <w:rsid w:val="00584FAD"/>
    <w:rsid w:val="00585027"/>
    <w:rsid w:val="00586661"/>
    <w:rsid w:val="00586B85"/>
    <w:rsid w:val="00587623"/>
    <w:rsid w:val="00590A61"/>
    <w:rsid w:val="00590D7F"/>
    <w:rsid w:val="005910EC"/>
    <w:rsid w:val="00591550"/>
    <w:rsid w:val="00591C38"/>
    <w:rsid w:val="00591ED0"/>
    <w:rsid w:val="0059351A"/>
    <w:rsid w:val="00593BC8"/>
    <w:rsid w:val="00593D68"/>
    <w:rsid w:val="00594144"/>
    <w:rsid w:val="00594678"/>
    <w:rsid w:val="00594736"/>
    <w:rsid w:val="00595240"/>
    <w:rsid w:val="00595E00"/>
    <w:rsid w:val="00595FAB"/>
    <w:rsid w:val="00596498"/>
    <w:rsid w:val="00596582"/>
    <w:rsid w:val="00596898"/>
    <w:rsid w:val="00596A7A"/>
    <w:rsid w:val="005971F1"/>
    <w:rsid w:val="00597539"/>
    <w:rsid w:val="00597784"/>
    <w:rsid w:val="005979A3"/>
    <w:rsid w:val="005A0111"/>
    <w:rsid w:val="005A05EA"/>
    <w:rsid w:val="005A0987"/>
    <w:rsid w:val="005A1011"/>
    <w:rsid w:val="005A10EB"/>
    <w:rsid w:val="005A31F0"/>
    <w:rsid w:val="005A3AD8"/>
    <w:rsid w:val="005A40EE"/>
    <w:rsid w:val="005A4E1B"/>
    <w:rsid w:val="005A5A8D"/>
    <w:rsid w:val="005A5B48"/>
    <w:rsid w:val="005A5CDB"/>
    <w:rsid w:val="005A5E1D"/>
    <w:rsid w:val="005A67C7"/>
    <w:rsid w:val="005A6B41"/>
    <w:rsid w:val="005A7743"/>
    <w:rsid w:val="005A7A21"/>
    <w:rsid w:val="005A7AA5"/>
    <w:rsid w:val="005A7DB8"/>
    <w:rsid w:val="005B04C8"/>
    <w:rsid w:val="005B0682"/>
    <w:rsid w:val="005B0824"/>
    <w:rsid w:val="005B0DCB"/>
    <w:rsid w:val="005B0E7B"/>
    <w:rsid w:val="005B0FF4"/>
    <w:rsid w:val="005B133A"/>
    <w:rsid w:val="005B1A0A"/>
    <w:rsid w:val="005B1ECE"/>
    <w:rsid w:val="005B1F1F"/>
    <w:rsid w:val="005B26D6"/>
    <w:rsid w:val="005B2979"/>
    <w:rsid w:val="005B2B9C"/>
    <w:rsid w:val="005B2BAF"/>
    <w:rsid w:val="005B30C6"/>
    <w:rsid w:val="005B30FA"/>
    <w:rsid w:val="005B3ED2"/>
    <w:rsid w:val="005B45E5"/>
    <w:rsid w:val="005B4DFB"/>
    <w:rsid w:val="005B5612"/>
    <w:rsid w:val="005B57B4"/>
    <w:rsid w:val="005B6E94"/>
    <w:rsid w:val="005B71E6"/>
    <w:rsid w:val="005B7661"/>
    <w:rsid w:val="005B7E04"/>
    <w:rsid w:val="005B7FAE"/>
    <w:rsid w:val="005C03C0"/>
    <w:rsid w:val="005C04D6"/>
    <w:rsid w:val="005C1283"/>
    <w:rsid w:val="005C1418"/>
    <w:rsid w:val="005C17CA"/>
    <w:rsid w:val="005C2140"/>
    <w:rsid w:val="005C23DE"/>
    <w:rsid w:val="005C27CE"/>
    <w:rsid w:val="005C27DD"/>
    <w:rsid w:val="005C29AF"/>
    <w:rsid w:val="005C2B9D"/>
    <w:rsid w:val="005C2C09"/>
    <w:rsid w:val="005C2C28"/>
    <w:rsid w:val="005C2FDC"/>
    <w:rsid w:val="005C33DC"/>
    <w:rsid w:val="005C3C50"/>
    <w:rsid w:val="005C4690"/>
    <w:rsid w:val="005C4891"/>
    <w:rsid w:val="005C4C63"/>
    <w:rsid w:val="005C4EB1"/>
    <w:rsid w:val="005C5332"/>
    <w:rsid w:val="005C5703"/>
    <w:rsid w:val="005C590F"/>
    <w:rsid w:val="005C6124"/>
    <w:rsid w:val="005C6187"/>
    <w:rsid w:val="005C68A1"/>
    <w:rsid w:val="005C70FF"/>
    <w:rsid w:val="005C7271"/>
    <w:rsid w:val="005C7E7B"/>
    <w:rsid w:val="005C7F14"/>
    <w:rsid w:val="005D0459"/>
    <w:rsid w:val="005D1093"/>
    <w:rsid w:val="005D153F"/>
    <w:rsid w:val="005D1DF8"/>
    <w:rsid w:val="005D2253"/>
    <w:rsid w:val="005D2B28"/>
    <w:rsid w:val="005D2D42"/>
    <w:rsid w:val="005D31A5"/>
    <w:rsid w:val="005D3B4B"/>
    <w:rsid w:val="005D3CE3"/>
    <w:rsid w:val="005D4596"/>
    <w:rsid w:val="005D538F"/>
    <w:rsid w:val="005D55C0"/>
    <w:rsid w:val="005D5D55"/>
    <w:rsid w:val="005D5D63"/>
    <w:rsid w:val="005D6422"/>
    <w:rsid w:val="005D67F9"/>
    <w:rsid w:val="005D6D8A"/>
    <w:rsid w:val="005D6EF5"/>
    <w:rsid w:val="005E041F"/>
    <w:rsid w:val="005E06DB"/>
    <w:rsid w:val="005E0770"/>
    <w:rsid w:val="005E0799"/>
    <w:rsid w:val="005E079A"/>
    <w:rsid w:val="005E0CB8"/>
    <w:rsid w:val="005E12FE"/>
    <w:rsid w:val="005E13ED"/>
    <w:rsid w:val="005E15BF"/>
    <w:rsid w:val="005E1751"/>
    <w:rsid w:val="005E1E20"/>
    <w:rsid w:val="005E2100"/>
    <w:rsid w:val="005E2621"/>
    <w:rsid w:val="005E2BBF"/>
    <w:rsid w:val="005E3949"/>
    <w:rsid w:val="005E3A5B"/>
    <w:rsid w:val="005E3DA9"/>
    <w:rsid w:val="005E40B6"/>
    <w:rsid w:val="005E4228"/>
    <w:rsid w:val="005E464C"/>
    <w:rsid w:val="005E4BD4"/>
    <w:rsid w:val="005E50C6"/>
    <w:rsid w:val="005E568D"/>
    <w:rsid w:val="005E5D32"/>
    <w:rsid w:val="005E607D"/>
    <w:rsid w:val="005E66DD"/>
    <w:rsid w:val="005E6BBA"/>
    <w:rsid w:val="005E7A3D"/>
    <w:rsid w:val="005F0AEF"/>
    <w:rsid w:val="005F0CBA"/>
    <w:rsid w:val="005F16B5"/>
    <w:rsid w:val="005F188D"/>
    <w:rsid w:val="005F1C92"/>
    <w:rsid w:val="005F20B5"/>
    <w:rsid w:val="005F252A"/>
    <w:rsid w:val="005F265A"/>
    <w:rsid w:val="005F3301"/>
    <w:rsid w:val="005F4360"/>
    <w:rsid w:val="005F4433"/>
    <w:rsid w:val="005F508C"/>
    <w:rsid w:val="005F5478"/>
    <w:rsid w:val="005F5514"/>
    <w:rsid w:val="005F5B1E"/>
    <w:rsid w:val="005F6107"/>
    <w:rsid w:val="005F61A1"/>
    <w:rsid w:val="005F6434"/>
    <w:rsid w:val="005F66E6"/>
    <w:rsid w:val="005F7939"/>
    <w:rsid w:val="0060019F"/>
    <w:rsid w:val="00600851"/>
    <w:rsid w:val="00600886"/>
    <w:rsid w:val="00600B3C"/>
    <w:rsid w:val="00600BB0"/>
    <w:rsid w:val="00600FA2"/>
    <w:rsid w:val="006010BA"/>
    <w:rsid w:val="006015A4"/>
    <w:rsid w:val="00601769"/>
    <w:rsid w:val="00601DBB"/>
    <w:rsid w:val="00603095"/>
    <w:rsid w:val="00603D42"/>
    <w:rsid w:val="00604E3E"/>
    <w:rsid w:val="00604FA6"/>
    <w:rsid w:val="00604FFF"/>
    <w:rsid w:val="0060547F"/>
    <w:rsid w:val="00606336"/>
    <w:rsid w:val="00606E43"/>
    <w:rsid w:val="00607248"/>
    <w:rsid w:val="00607D09"/>
    <w:rsid w:val="0061097E"/>
    <w:rsid w:val="00610BA5"/>
    <w:rsid w:val="00611584"/>
    <w:rsid w:val="0061189A"/>
    <w:rsid w:val="00611B4E"/>
    <w:rsid w:val="00611F9A"/>
    <w:rsid w:val="00612067"/>
    <w:rsid w:val="00612C26"/>
    <w:rsid w:val="00612C7A"/>
    <w:rsid w:val="006131BA"/>
    <w:rsid w:val="00613390"/>
    <w:rsid w:val="00613466"/>
    <w:rsid w:val="0061547E"/>
    <w:rsid w:val="00615F2C"/>
    <w:rsid w:val="00615F90"/>
    <w:rsid w:val="0061611A"/>
    <w:rsid w:val="006162FA"/>
    <w:rsid w:val="00616723"/>
    <w:rsid w:val="006169CB"/>
    <w:rsid w:val="00616B5B"/>
    <w:rsid w:val="00617396"/>
    <w:rsid w:val="00617560"/>
    <w:rsid w:val="00617915"/>
    <w:rsid w:val="006179C8"/>
    <w:rsid w:val="00617C06"/>
    <w:rsid w:val="006201FA"/>
    <w:rsid w:val="00620294"/>
    <w:rsid w:val="006202E0"/>
    <w:rsid w:val="00620A4F"/>
    <w:rsid w:val="006210C5"/>
    <w:rsid w:val="006215C0"/>
    <w:rsid w:val="0062164A"/>
    <w:rsid w:val="00621DE4"/>
    <w:rsid w:val="00621E5B"/>
    <w:rsid w:val="00622AA0"/>
    <w:rsid w:val="00622DDC"/>
    <w:rsid w:val="00623552"/>
    <w:rsid w:val="006237D6"/>
    <w:rsid w:val="0062498E"/>
    <w:rsid w:val="00624EBC"/>
    <w:rsid w:val="00625B87"/>
    <w:rsid w:val="00625C86"/>
    <w:rsid w:val="006262A5"/>
    <w:rsid w:val="00626E36"/>
    <w:rsid w:val="00627494"/>
    <w:rsid w:val="006277C3"/>
    <w:rsid w:val="006277D1"/>
    <w:rsid w:val="00627806"/>
    <w:rsid w:val="0062785A"/>
    <w:rsid w:val="00627AA7"/>
    <w:rsid w:val="00627B86"/>
    <w:rsid w:val="00627FE9"/>
    <w:rsid w:val="00630202"/>
    <w:rsid w:val="006306A6"/>
    <w:rsid w:val="0063146D"/>
    <w:rsid w:val="00631603"/>
    <w:rsid w:val="00632192"/>
    <w:rsid w:val="00633F51"/>
    <w:rsid w:val="00634322"/>
    <w:rsid w:val="0063495D"/>
    <w:rsid w:val="00634A40"/>
    <w:rsid w:val="00635441"/>
    <w:rsid w:val="006357B9"/>
    <w:rsid w:val="0063647E"/>
    <w:rsid w:val="00636BAD"/>
    <w:rsid w:val="00636E22"/>
    <w:rsid w:val="00637085"/>
    <w:rsid w:val="0063734A"/>
    <w:rsid w:val="006374AC"/>
    <w:rsid w:val="006374F2"/>
    <w:rsid w:val="00637A6F"/>
    <w:rsid w:val="00637CF0"/>
    <w:rsid w:val="00637DFC"/>
    <w:rsid w:val="0064016E"/>
    <w:rsid w:val="006409B3"/>
    <w:rsid w:val="00640BF7"/>
    <w:rsid w:val="00641BCE"/>
    <w:rsid w:val="006423CD"/>
    <w:rsid w:val="00642945"/>
    <w:rsid w:val="00642DB3"/>
    <w:rsid w:val="00643B90"/>
    <w:rsid w:val="006457BA"/>
    <w:rsid w:val="006464AC"/>
    <w:rsid w:val="00646C3A"/>
    <w:rsid w:val="00647BFC"/>
    <w:rsid w:val="00647C7A"/>
    <w:rsid w:val="006500D1"/>
    <w:rsid w:val="00650120"/>
    <w:rsid w:val="006504B5"/>
    <w:rsid w:val="006507E1"/>
    <w:rsid w:val="00650F73"/>
    <w:rsid w:val="0065106A"/>
    <w:rsid w:val="0065136A"/>
    <w:rsid w:val="0065180B"/>
    <w:rsid w:val="006518B9"/>
    <w:rsid w:val="00653056"/>
    <w:rsid w:val="00653326"/>
    <w:rsid w:val="00654ABD"/>
    <w:rsid w:val="00655A14"/>
    <w:rsid w:val="00655EFE"/>
    <w:rsid w:val="006563A9"/>
    <w:rsid w:val="006564F0"/>
    <w:rsid w:val="006568A7"/>
    <w:rsid w:val="00656D9F"/>
    <w:rsid w:val="00657156"/>
    <w:rsid w:val="00657413"/>
    <w:rsid w:val="00657BDB"/>
    <w:rsid w:val="00657BF4"/>
    <w:rsid w:val="00660177"/>
    <w:rsid w:val="00660629"/>
    <w:rsid w:val="00660CFB"/>
    <w:rsid w:val="006617FF"/>
    <w:rsid w:val="00661905"/>
    <w:rsid w:val="00661A30"/>
    <w:rsid w:val="00661AD2"/>
    <w:rsid w:val="00661E3D"/>
    <w:rsid w:val="0066265A"/>
    <w:rsid w:val="006627EF"/>
    <w:rsid w:val="006629DE"/>
    <w:rsid w:val="00664173"/>
    <w:rsid w:val="006646D6"/>
    <w:rsid w:val="00664BB4"/>
    <w:rsid w:val="006657AB"/>
    <w:rsid w:val="006657E5"/>
    <w:rsid w:val="00666153"/>
    <w:rsid w:val="006669D4"/>
    <w:rsid w:val="00666A09"/>
    <w:rsid w:val="00667266"/>
    <w:rsid w:val="0066734B"/>
    <w:rsid w:val="00667871"/>
    <w:rsid w:val="00667969"/>
    <w:rsid w:val="00667FA5"/>
    <w:rsid w:val="006703EA"/>
    <w:rsid w:val="006709A0"/>
    <w:rsid w:val="00670DE4"/>
    <w:rsid w:val="00671497"/>
    <w:rsid w:val="006725D0"/>
    <w:rsid w:val="00672982"/>
    <w:rsid w:val="00672B20"/>
    <w:rsid w:val="00672B79"/>
    <w:rsid w:val="00673068"/>
    <w:rsid w:val="006734E7"/>
    <w:rsid w:val="006735F6"/>
    <w:rsid w:val="0067411C"/>
    <w:rsid w:val="00674438"/>
    <w:rsid w:val="0067493B"/>
    <w:rsid w:val="00674E99"/>
    <w:rsid w:val="00674F91"/>
    <w:rsid w:val="00675127"/>
    <w:rsid w:val="0067581A"/>
    <w:rsid w:val="00675945"/>
    <w:rsid w:val="00676D54"/>
    <w:rsid w:val="00677DA1"/>
    <w:rsid w:val="00677DDA"/>
    <w:rsid w:val="006801C4"/>
    <w:rsid w:val="00680BE0"/>
    <w:rsid w:val="00681013"/>
    <w:rsid w:val="00681484"/>
    <w:rsid w:val="00681D99"/>
    <w:rsid w:val="006820FB"/>
    <w:rsid w:val="006829F1"/>
    <w:rsid w:val="006834DA"/>
    <w:rsid w:val="00683CFE"/>
    <w:rsid w:val="006840AB"/>
    <w:rsid w:val="006843B8"/>
    <w:rsid w:val="006848C1"/>
    <w:rsid w:val="00684D4E"/>
    <w:rsid w:val="00685434"/>
    <w:rsid w:val="006854F2"/>
    <w:rsid w:val="00685907"/>
    <w:rsid w:val="00685A22"/>
    <w:rsid w:val="00685AC9"/>
    <w:rsid w:val="00685AE6"/>
    <w:rsid w:val="00686123"/>
    <w:rsid w:val="00686579"/>
    <w:rsid w:val="006866FE"/>
    <w:rsid w:val="006870F9"/>
    <w:rsid w:val="00690175"/>
    <w:rsid w:val="006903E7"/>
    <w:rsid w:val="00690A11"/>
    <w:rsid w:val="0069117E"/>
    <w:rsid w:val="00691628"/>
    <w:rsid w:val="0069211A"/>
    <w:rsid w:val="006924F3"/>
    <w:rsid w:val="00692D37"/>
    <w:rsid w:val="006937B7"/>
    <w:rsid w:val="00693870"/>
    <w:rsid w:val="006938B7"/>
    <w:rsid w:val="00694A9A"/>
    <w:rsid w:val="00694BC5"/>
    <w:rsid w:val="00694D66"/>
    <w:rsid w:val="00694E1F"/>
    <w:rsid w:val="00694ED4"/>
    <w:rsid w:val="00694F18"/>
    <w:rsid w:val="0069521D"/>
    <w:rsid w:val="0069531E"/>
    <w:rsid w:val="00695468"/>
    <w:rsid w:val="006955D3"/>
    <w:rsid w:val="00695826"/>
    <w:rsid w:val="006961C9"/>
    <w:rsid w:val="0069620D"/>
    <w:rsid w:val="006972D7"/>
    <w:rsid w:val="00697B16"/>
    <w:rsid w:val="00697D0C"/>
    <w:rsid w:val="00697F6F"/>
    <w:rsid w:val="006A04BA"/>
    <w:rsid w:val="006A1396"/>
    <w:rsid w:val="006A1A38"/>
    <w:rsid w:val="006A1E37"/>
    <w:rsid w:val="006A2101"/>
    <w:rsid w:val="006A21CD"/>
    <w:rsid w:val="006A2613"/>
    <w:rsid w:val="006A3321"/>
    <w:rsid w:val="006A3D04"/>
    <w:rsid w:val="006A3DDA"/>
    <w:rsid w:val="006A3DE5"/>
    <w:rsid w:val="006A4434"/>
    <w:rsid w:val="006A45EC"/>
    <w:rsid w:val="006A5364"/>
    <w:rsid w:val="006A547E"/>
    <w:rsid w:val="006A607A"/>
    <w:rsid w:val="006A6217"/>
    <w:rsid w:val="006A6963"/>
    <w:rsid w:val="006A7057"/>
    <w:rsid w:val="006A755D"/>
    <w:rsid w:val="006B0032"/>
    <w:rsid w:val="006B0A6B"/>
    <w:rsid w:val="006B0B95"/>
    <w:rsid w:val="006B0E71"/>
    <w:rsid w:val="006B108C"/>
    <w:rsid w:val="006B1203"/>
    <w:rsid w:val="006B1BA8"/>
    <w:rsid w:val="006B215C"/>
    <w:rsid w:val="006B23D8"/>
    <w:rsid w:val="006B2C2A"/>
    <w:rsid w:val="006B2E80"/>
    <w:rsid w:val="006B38DA"/>
    <w:rsid w:val="006B3C2E"/>
    <w:rsid w:val="006B4399"/>
    <w:rsid w:val="006B4667"/>
    <w:rsid w:val="006B4790"/>
    <w:rsid w:val="006B516B"/>
    <w:rsid w:val="006B5661"/>
    <w:rsid w:val="006B5D89"/>
    <w:rsid w:val="006B63B8"/>
    <w:rsid w:val="006B676B"/>
    <w:rsid w:val="006B67EE"/>
    <w:rsid w:val="006B6CD3"/>
    <w:rsid w:val="006B6D60"/>
    <w:rsid w:val="006B6EC5"/>
    <w:rsid w:val="006B7B2A"/>
    <w:rsid w:val="006C04EC"/>
    <w:rsid w:val="006C097E"/>
    <w:rsid w:val="006C0CD4"/>
    <w:rsid w:val="006C0EF9"/>
    <w:rsid w:val="006C0F48"/>
    <w:rsid w:val="006C157F"/>
    <w:rsid w:val="006C180C"/>
    <w:rsid w:val="006C2C15"/>
    <w:rsid w:val="006C2FA1"/>
    <w:rsid w:val="006C31C7"/>
    <w:rsid w:val="006C3506"/>
    <w:rsid w:val="006C3992"/>
    <w:rsid w:val="006C3DC9"/>
    <w:rsid w:val="006C47B5"/>
    <w:rsid w:val="006C4AFA"/>
    <w:rsid w:val="006C5269"/>
    <w:rsid w:val="006C54C3"/>
    <w:rsid w:val="006C5575"/>
    <w:rsid w:val="006C574F"/>
    <w:rsid w:val="006C57EC"/>
    <w:rsid w:val="006C6F9A"/>
    <w:rsid w:val="006C7F0C"/>
    <w:rsid w:val="006D0199"/>
    <w:rsid w:val="006D04C8"/>
    <w:rsid w:val="006D0ADC"/>
    <w:rsid w:val="006D0DC9"/>
    <w:rsid w:val="006D13C6"/>
    <w:rsid w:val="006D13DC"/>
    <w:rsid w:val="006D19CD"/>
    <w:rsid w:val="006D1D20"/>
    <w:rsid w:val="006D1D88"/>
    <w:rsid w:val="006D1EC9"/>
    <w:rsid w:val="006D2DFB"/>
    <w:rsid w:val="006D312A"/>
    <w:rsid w:val="006D3629"/>
    <w:rsid w:val="006D3B53"/>
    <w:rsid w:val="006D3D13"/>
    <w:rsid w:val="006D4980"/>
    <w:rsid w:val="006D534E"/>
    <w:rsid w:val="006D60F3"/>
    <w:rsid w:val="006D628C"/>
    <w:rsid w:val="006D6616"/>
    <w:rsid w:val="006D662D"/>
    <w:rsid w:val="006D68A5"/>
    <w:rsid w:val="006E09CD"/>
    <w:rsid w:val="006E0A59"/>
    <w:rsid w:val="006E0BB7"/>
    <w:rsid w:val="006E0C72"/>
    <w:rsid w:val="006E1C3B"/>
    <w:rsid w:val="006E20F4"/>
    <w:rsid w:val="006E2254"/>
    <w:rsid w:val="006E2866"/>
    <w:rsid w:val="006E322A"/>
    <w:rsid w:val="006E369C"/>
    <w:rsid w:val="006E36A5"/>
    <w:rsid w:val="006E3739"/>
    <w:rsid w:val="006E4848"/>
    <w:rsid w:val="006E4A83"/>
    <w:rsid w:val="006E527F"/>
    <w:rsid w:val="006E53BF"/>
    <w:rsid w:val="006E553C"/>
    <w:rsid w:val="006E58D9"/>
    <w:rsid w:val="006E631D"/>
    <w:rsid w:val="006E71DD"/>
    <w:rsid w:val="006E7A12"/>
    <w:rsid w:val="006F0063"/>
    <w:rsid w:val="006F03D8"/>
    <w:rsid w:val="006F07B7"/>
    <w:rsid w:val="006F07E5"/>
    <w:rsid w:val="006F0BA0"/>
    <w:rsid w:val="006F0DD1"/>
    <w:rsid w:val="006F166C"/>
    <w:rsid w:val="006F1732"/>
    <w:rsid w:val="006F1ED3"/>
    <w:rsid w:val="006F36F9"/>
    <w:rsid w:val="006F3D2A"/>
    <w:rsid w:val="006F51CF"/>
    <w:rsid w:val="006F5899"/>
    <w:rsid w:val="006F5977"/>
    <w:rsid w:val="006F5ED8"/>
    <w:rsid w:val="006F633C"/>
    <w:rsid w:val="006F6EDB"/>
    <w:rsid w:val="006F727E"/>
    <w:rsid w:val="006F74CF"/>
    <w:rsid w:val="006F758A"/>
    <w:rsid w:val="006F7A9F"/>
    <w:rsid w:val="006F7E41"/>
    <w:rsid w:val="00700330"/>
    <w:rsid w:val="007007C2"/>
    <w:rsid w:val="00700806"/>
    <w:rsid w:val="00702E81"/>
    <w:rsid w:val="00703FA0"/>
    <w:rsid w:val="007045CE"/>
    <w:rsid w:val="00704ADB"/>
    <w:rsid w:val="00705052"/>
    <w:rsid w:val="0070509F"/>
    <w:rsid w:val="0070519C"/>
    <w:rsid w:val="007060AC"/>
    <w:rsid w:val="00706E0D"/>
    <w:rsid w:val="00707F5D"/>
    <w:rsid w:val="0071022F"/>
    <w:rsid w:val="0071123F"/>
    <w:rsid w:val="00711C80"/>
    <w:rsid w:val="00711FE4"/>
    <w:rsid w:val="007121BE"/>
    <w:rsid w:val="007121DC"/>
    <w:rsid w:val="0071319F"/>
    <w:rsid w:val="00713377"/>
    <w:rsid w:val="00713521"/>
    <w:rsid w:val="00713B7C"/>
    <w:rsid w:val="0071419A"/>
    <w:rsid w:val="00714972"/>
    <w:rsid w:val="007151EB"/>
    <w:rsid w:val="00715718"/>
    <w:rsid w:val="007157BA"/>
    <w:rsid w:val="0071587A"/>
    <w:rsid w:val="00715E41"/>
    <w:rsid w:val="00716A62"/>
    <w:rsid w:val="00717824"/>
    <w:rsid w:val="00717B02"/>
    <w:rsid w:val="00720398"/>
    <w:rsid w:val="0072060C"/>
    <w:rsid w:val="007208A2"/>
    <w:rsid w:val="007219B9"/>
    <w:rsid w:val="00721C48"/>
    <w:rsid w:val="00721D3F"/>
    <w:rsid w:val="0072207C"/>
    <w:rsid w:val="007220E8"/>
    <w:rsid w:val="007221BB"/>
    <w:rsid w:val="00722335"/>
    <w:rsid w:val="00722807"/>
    <w:rsid w:val="00722ADC"/>
    <w:rsid w:val="0072300A"/>
    <w:rsid w:val="00723768"/>
    <w:rsid w:val="00724A28"/>
    <w:rsid w:val="00724D31"/>
    <w:rsid w:val="00725836"/>
    <w:rsid w:val="00725ABA"/>
    <w:rsid w:val="00725BE9"/>
    <w:rsid w:val="00725F3F"/>
    <w:rsid w:val="007264C4"/>
    <w:rsid w:val="00726682"/>
    <w:rsid w:val="00726950"/>
    <w:rsid w:val="0072716F"/>
    <w:rsid w:val="007271C1"/>
    <w:rsid w:val="0072731A"/>
    <w:rsid w:val="00727983"/>
    <w:rsid w:val="00730004"/>
    <w:rsid w:val="00730239"/>
    <w:rsid w:val="00730441"/>
    <w:rsid w:val="0073051F"/>
    <w:rsid w:val="007306D3"/>
    <w:rsid w:val="00730EE5"/>
    <w:rsid w:val="00731316"/>
    <w:rsid w:val="007323DB"/>
    <w:rsid w:val="007324EC"/>
    <w:rsid w:val="00732762"/>
    <w:rsid w:val="007327BA"/>
    <w:rsid w:val="00732A3D"/>
    <w:rsid w:val="00732AE0"/>
    <w:rsid w:val="00732F8B"/>
    <w:rsid w:val="007330D4"/>
    <w:rsid w:val="0073317C"/>
    <w:rsid w:val="007332A5"/>
    <w:rsid w:val="007335A2"/>
    <w:rsid w:val="00733C46"/>
    <w:rsid w:val="007345D4"/>
    <w:rsid w:val="00734F37"/>
    <w:rsid w:val="00734FAD"/>
    <w:rsid w:val="00735823"/>
    <w:rsid w:val="007358AF"/>
    <w:rsid w:val="00736028"/>
    <w:rsid w:val="007361C0"/>
    <w:rsid w:val="00736A22"/>
    <w:rsid w:val="00736CCF"/>
    <w:rsid w:val="007407A3"/>
    <w:rsid w:val="00740C76"/>
    <w:rsid w:val="00741A85"/>
    <w:rsid w:val="00741EE1"/>
    <w:rsid w:val="007420B7"/>
    <w:rsid w:val="00742B75"/>
    <w:rsid w:val="00742FB4"/>
    <w:rsid w:val="0074380E"/>
    <w:rsid w:val="00743A45"/>
    <w:rsid w:val="00743BA5"/>
    <w:rsid w:val="00744D31"/>
    <w:rsid w:val="00744E9A"/>
    <w:rsid w:val="007450EE"/>
    <w:rsid w:val="007453B4"/>
    <w:rsid w:val="00746D65"/>
    <w:rsid w:val="007470FF"/>
    <w:rsid w:val="007479C0"/>
    <w:rsid w:val="00747A59"/>
    <w:rsid w:val="00747B85"/>
    <w:rsid w:val="00747D68"/>
    <w:rsid w:val="00747DA9"/>
    <w:rsid w:val="00750475"/>
    <w:rsid w:val="00750769"/>
    <w:rsid w:val="007508A1"/>
    <w:rsid w:val="007508E1"/>
    <w:rsid w:val="00751230"/>
    <w:rsid w:val="00751558"/>
    <w:rsid w:val="00751E5D"/>
    <w:rsid w:val="00752C8F"/>
    <w:rsid w:val="00752D8F"/>
    <w:rsid w:val="00753073"/>
    <w:rsid w:val="00753416"/>
    <w:rsid w:val="00753979"/>
    <w:rsid w:val="00754077"/>
    <w:rsid w:val="00754172"/>
    <w:rsid w:val="00754878"/>
    <w:rsid w:val="00754ADD"/>
    <w:rsid w:val="00756882"/>
    <w:rsid w:val="007573DE"/>
    <w:rsid w:val="00757983"/>
    <w:rsid w:val="00757B12"/>
    <w:rsid w:val="00757B90"/>
    <w:rsid w:val="00757BF8"/>
    <w:rsid w:val="00760258"/>
    <w:rsid w:val="007606B7"/>
    <w:rsid w:val="0076071F"/>
    <w:rsid w:val="00760F3D"/>
    <w:rsid w:val="00761DC8"/>
    <w:rsid w:val="007627C2"/>
    <w:rsid w:val="00762914"/>
    <w:rsid w:val="00762CC7"/>
    <w:rsid w:val="00763728"/>
    <w:rsid w:val="00763A29"/>
    <w:rsid w:val="00763B1B"/>
    <w:rsid w:val="00763B2D"/>
    <w:rsid w:val="00763EA3"/>
    <w:rsid w:val="00763F24"/>
    <w:rsid w:val="00764100"/>
    <w:rsid w:val="007649CB"/>
    <w:rsid w:val="00764FDC"/>
    <w:rsid w:val="007653DC"/>
    <w:rsid w:val="0076573B"/>
    <w:rsid w:val="007659ED"/>
    <w:rsid w:val="00765DEB"/>
    <w:rsid w:val="007671B2"/>
    <w:rsid w:val="0076724C"/>
    <w:rsid w:val="00767458"/>
    <w:rsid w:val="007679D4"/>
    <w:rsid w:val="00767DC8"/>
    <w:rsid w:val="00770041"/>
    <w:rsid w:val="00771094"/>
    <w:rsid w:val="00771294"/>
    <w:rsid w:val="0077205E"/>
    <w:rsid w:val="00772259"/>
    <w:rsid w:val="0077275C"/>
    <w:rsid w:val="00772BF9"/>
    <w:rsid w:val="00772D7A"/>
    <w:rsid w:val="00772EE6"/>
    <w:rsid w:val="00773441"/>
    <w:rsid w:val="007734AE"/>
    <w:rsid w:val="00773C47"/>
    <w:rsid w:val="00773F08"/>
    <w:rsid w:val="0077409D"/>
    <w:rsid w:val="00774E6B"/>
    <w:rsid w:val="0077530B"/>
    <w:rsid w:val="00775844"/>
    <w:rsid w:val="00775EE8"/>
    <w:rsid w:val="00776096"/>
    <w:rsid w:val="00776630"/>
    <w:rsid w:val="00776AFC"/>
    <w:rsid w:val="00776B99"/>
    <w:rsid w:val="00776DAC"/>
    <w:rsid w:val="00776E3C"/>
    <w:rsid w:val="00777090"/>
    <w:rsid w:val="00777345"/>
    <w:rsid w:val="0077738E"/>
    <w:rsid w:val="007774C6"/>
    <w:rsid w:val="00777562"/>
    <w:rsid w:val="007779F7"/>
    <w:rsid w:val="00780446"/>
    <w:rsid w:val="007806BF"/>
    <w:rsid w:val="00780750"/>
    <w:rsid w:val="00780BA3"/>
    <w:rsid w:val="00780C03"/>
    <w:rsid w:val="00780CD0"/>
    <w:rsid w:val="00780D5F"/>
    <w:rsid w:val="00780EB1"/>
    <w:rsid w:val="0078157D"/>
    <w:rsid w:val="007815D5"/>
    <w:rsid w:val="00781BF2"/>
    <w:rsid w:val="00782FA9"/>
    <w:rsid w:val="007839F9"/>
    <w:rsid w:val="007844F2"/>
    <w:rsid w:val="00784512"/>
    <w:rsid w:val="00784800"/>
    <w:rsid w:val="0078495D"/>
    <w:rsid w:val="007867D6"/>
    <w:rsid w:val="00786B30"/>
    <w:rsid w:val="00786CCC"/>
    <w:rsid w:val="007876AB"/>
    <w:rsid w:val="00790073"/>
    <w:rsid w:val="007905E5"/>
    <w:rsid w:val="00790758"/>
    <w:rsid w:val="007911D4"/>
    <w:rsid w:val="00792624"/>
    <w:rsid w:val="00792819"/>
    <w:rsid w:val="00792B1E"/>
    <w:rsid w:val="00792EED"/>
    <w:rsid w:val="00793183"/>
    <w:rsid w:val="007932ED"/>
    <w:rsid w:val="00793B55"/>
    <w:rsid w:val="00794585"/>
    <w:rsid w:val="0079491D"/>
    <w:rsid w:val="00794926"/>
    <w:rsid w:val="00794B22"/>
    <w:rsid w:val="00794FA3"/>
    <w:rsid w:val="00795770"/>
    <w:rsid w:val="007966D1"/>
    <w:rsid w:val="00796717"/>
    <w:rsid w:val="0079671C"/>
    <w:rsid w:val="00797112"/>
    <w:rsid w:val="00797715"/>
    <w:rsid w:val="007979B5"/>
    <w:rsid w:val="00797AB3"/>
    <w:rsid w:val="00797B4B"/>
    <w:rsid w:val="007A031B"/>
    <w:rsid w:val="007A051B"/>
    <w:rsid w:val="007A07C5"/>
    <w:rsid w:val="007A0BC2"/>
    <w:rsid w:val="007A0C18"/>
    <w:rsid w:val="007A1383"/>
    <w:rsid w:val="007A1667"/>
    <w:rsid w:val="007A1960"/>
    <w:rsid w:val="007A1E52"/>
    <w:rsid w:val="007A1F8E"/>
    <w:rsid w:val="007A21CF"/>
    <w:rsid w:val="007A2224"/>
    <w:rsid w:val="007A2227"/>
    <w:rsid w:val="007A24A6"/>
    <w:rsid w:val="007A2804"/>
    <w:rsid w:val="007A41F4"/>
    <w:rsid w:val="007A449C"/>
    <w:rsid w:val="007A480F"/>
    <w:rsid w:val="007A5A73"/>
    <w:rsid w:val="007A619B"/>
    <w:rsid w:val="007A6484"/>
    <w:rsid w:val="007A664E"/>
    <w:rsid w:val="007A68AE"/>
    <w:rsid w:val="007A6A14"/>
    <w:rsid w:val="007A6A81"/>
    <w:rsid w:val="007A70AD"/>
    <w:rsid w:val="007A70DA"/>
    <w:rsid w:val="007A76B0"/>
    <w:rsid w:val="007A7B62"/>
    <w:rsid w:val="007B0016"/>
    <w:rsid w:val="007B059E"/>
    <w:rsid w:val="007B07D8"/>
    <w:rsid w:val="007B08FD"/>
    <w:rsid w:val="007B0BA0"/>
    <w:rsid w:val="007B0BD3"/>
    <w:rsid w:val="007B18DC"/>
    <w:rsid w:val="007B1983"/>
    <w:rsid w:val="007B1B14"/>
    <w:rsid w:val="007B1ED0"/>
    <w:rsid w:val="007B1ED9"/>
    <w:rsid w:val="007B2082"/>
    <w:rsid w:val="007B20B1"/>
    <w:rsid w:val="007B229D"/>
    <w:rsid w:val="007B238C"/>
    <w:rsid w:val="007B25EB"/>
    <w:rsid w:val="007B2730"/>
    <w:rsid w:val="007B2AC0"/>
    <w:rsid w:val="007B43BF"/>
    <w:rsid w:val="007B4A29"/>
    <w:rsid w:val="007B4F50"/>
    <w:rsid w:val="007B5339"/>
    <w:rsid w:val="007B5464"/>
    <w:rsid w:val="007B54DF"/>
    <w:rsid w:val="007B5A89"/>
    <w:rsid w:val="007B5D89"/>
    <w:rsid w:val="007B5F72"/>
    <w:rsid w:val="007B6CB6"/>
    <w:rsid w:val="007B7326"/>
    <w:rsid w:val="007B73D9"/>
    <w:rsid w:val="007B7D09"/>
    <w:rsid w:val="007C03AB"/>
    <w:rsid w:val="007C09ED"/>
    <w:rsid w:val="007C0EB1"/>
    <w:rsid w:val="007C0ED8"/>
    <w:rsid w:val="007C10C1"/>
    <w:rsid w:val="007C2126"/>
    <w:rsid w:val="007C240C"/>
    <w:rsid w:val="007C2AE7"/>
    <w:rsid w:val="007C2B2D"/>
    <w:rsid w:val="007C2EA7"/>
    <w:rsid w:val="007C360E"/>
    <w:rsid w:val="007C3736"/>
    <w:rsid w:val="007C395D"/>
    <w:rsid w:val="007C422A"/>
    <w:rsid w:val="007C42B0"/>
    <w:rsid w:val="007C4324"/>
    <w:rsid w:val="007C48CA"/>
    <w:rsid w:val="007C4C6F"/>
    <w:rsid w:val="007C4E95"/>
    <w:rsid w:val="007C5935"/>
    <w:rsid w:val="007C5A43"/>
    <w:rsid w:val="007C5E94"/>
    <w:rsid w:val="007C6081"/>
    <w:rsid w:val="007C611F"/>
    <w:rsid w:val="007C682F"/>
    <w:rsid w:val="007D0367"/>
    <w:rsid w:val="007D0A3F"/>
    <w:rsid w:val="007D0A89"/>
    <w:rsid w:val="007D0BE4"/>
    <w:rsid w:val="007D2294"/>
    <w:rsid w:val="007D272A"/>
    <w:rsid w:val="007D30CA"/>
    <w:rsid w:val="007D3503"/>
    <w:rsid w:val="007D36E2"/>
    <w:rsid w:val="007D3C6A"/>
    <w:rsid w:val="007D440B"/>
    <w:rsid w:val="007D5106"/>
    <w:rsid w:val="007D57E7"/>
    <w:rsid w:val="007D58F4"/>
    <w:rsid w:val="007D60A5"/>
    <w:rsid w:val="007D663D"/>
    <w:rsid w:val="007D66D3"/>
    <w:rsid w:val="007D6A4B"/>
    <w:rsid w:val="007D6F12"/>
    <w:rsid w:val="007D730B"/>
    <w:rsid w:val="007D7387"/>
    <w:rsid w:val="007D742B"/>
    <w:rsid w:val="007D7858"/>
    <w:rsid w:val="007D7965"/>
    <w:rsid w:val="007D7F4C"/>
    <w:rsid w:val="007E02CF"/>
    <w:rsid w:val="007E0783"/>
    <w:rsid w:val="007E080C"/>
    <w:rsid w:val="007E1094"/>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461"/>
    <w:rsid w:val="007E55BF"/>
    <w:rsid w:val="007E55F3"/>
    <w:rsid w:val="007E5F63"/>
    <w:rsid w:val="007E60C0"/>
    <w:rsid w:val="007E7965"/>
    <w:rsid w:val="007E7C20"/>
    <w:rsid w:val="007E7CA3"/>
    <w:rsid w:val="007E7D04"/>
    <w:rsid w:val="007E7E99"/>
    <w:rsid w:val="007F0438"/>
    <w:rsid w:val="007F0CB0"/>
    <w:rsid w:val="007F1DF6"/>
    <w:rsid w:val="007F3728"/>
    <w:rsid w:val="007F3767"/>
    <w:rsid w:val="007F37BF"/>
    <w:rsid w:val="007F3885"/>
    <w:rsid w:val="007F3931"/>
    <w:rsid w:val="007F3979"/>
    <w:rsid w:val="007F3CB1"/>
    <w:rsid w:val="007F3DD0"/>
    <w:rsid w:val="007F44B9"/>
    <w:rsid w:val="007F4CE1"/>
    <w:rsid w:val="007F4D22"/>
    <w:rsid w:val="007F525E"/>
    <w:rsid w:val="007F5843"/>
    <w:rsid w:val="007F5E11"/>
    <w:rsid w:val="007F6134"/>
    <w:rsid w:val="007F650D"/>
    <w:rsid w:val="007F6775"/>
    <w:rsid w:val="007F72B7"/>
    <w:rsid w:val="007F747E"/>
    <w:rsid w:val="007F77CA"/>
    <w:rsid w:val="007F7D0E"/>
    <w:rsid w:val="008007E7"/>
    <w:rsid w:val="00800D0E"/>
    <w:rsid w:val="00800D48"/>
    <w:rsid w:val="00802407"/>
    <w:rsid w:val="008028F6"/>
    <w:rsid w:val="00802AD2"/>
    <w:rsid w:val="00802CCE"/>
    <w:rsid w:val="00803610"/>
    <w:rsid w:val="00803C8D"/>
    <w:rsid w:val="00803CD5"/>
    <w:rsid w:val="00804F24"/>
    <w:rsid w:val="00805EBF"/>
    <w:rsid w:val="00805FBD"/>
    <w:rsid w:val="00806122"/>
    <w:rsid w:val="0080632B"/>
    <w:rsid w:val="008064BC"/>
    <w:rsid w:val="00806DD5"/>
    <w:rsid w:val="00806E48"/>
    <w:rsid w:val="00807036"/>
    <w:rsid w:val="00807C01"/>
    <w:rsid w:val="00810020"/>
    <w:rsid w:val="008100F1"/>
    <w:rsid w:val="00810901"/>
    <w:rsid w:val="00810B44"/>
    <w:rsid w:val="00810DD7"/>
    <w:rsid w:val="008111D7"/>
    <w:rsid w:val="00811653"/>
    <w:rsid w:val="00811C60"/>
    <w:rsid w:val="008121B9"/>
    <w:rsid w:val="008129A4"/>
    <w:rsid w:val="008129B0"/>
    <w:rsid w:val="00814AF6"/>
    <w:rsid w:val="00814B76"/>
    <w:rsid w:val="00814D73"/>
    <w:rsid w:val="00814E94"/>
    <w:rsid w:val="00814EC1"/>
    <w:rsid w:val="00815040"/>
    <w:rsid w:val="0081532A"/>
    <w:rsid w:val="008154A7"/>
    <w:rsid w:val="00815889"/>
    <w:rsid w:val="00815FC9"/>
    <w:rsid w:val="008160A9"/>
    <w:rsid w:val="008169E8"/>
    <w:rsid w:val="00816A73"/>
    <w:rsid w:val="00816D2B"/>
    <w:rsid w:val="0081728E"/>
    <w:rsid w:val="008179E1"/>
    <w:rsid w:val="00817AC3"/>
    <w:rsid w:val="00817E52"/>
    <w:rsid w:val="008209B3"/>
    <w:rsid w:val="008209F1"/>
    <w:rsid w:val="00821ACE"/>
    <w:rsid w:val="008229F7"/>
    <w:rsid w:val="00822CD2"/>
    <w:rsid w:val="008234BF"/>
    <w:rsid w:val="008235FE"/>
    <w:rsid w:val="00823A82"/>
    <w:rsid w:val="00823D07"/>
    <w:rsid w:val="00824442"/>
    <w:rsid w:val="00824A6B"/>
    <w:rsid w:val="00824D76"/>
    <w:rsid w:val="008252BC"/>
    <w:rsid w:val="00825A24"/>
    <w:rsid w:val="008265B0"/>
    <w:rsid w:val="00826767"/>
    <w:rsid w:val="00826C84"/>
    <w:rsid w:val="00826EFD"/>
    <w:rsid w:val="00826FA5"/>
    <w:rsid w:val="00827082"/>
    <w:rsid w:val="00827F14"/>
    <w:rsid w:val="008300F5"/>
    <w:rsid w:val="00830359"/>
    <w:rsid w:val="00830689"/>
    <w:rsid w:val="00830AAB"/>
    <w:rsid w:val="00830F2B"/>
    <w:rsid w:val="0083149D"/>
    <w:rsid w:val="00831D61"/>
    <w:rsid w:val="00831E0B"/>
    <w:rsid w:val="008322C0"/>
    <w:rsid w:val="0083237A"/>
    <w:rsid w:val="00832BC1"/>
    <w:rsid w:val="008330A5"/>
    <w:rsid w:val="008330C1"/>
    <w:rsid w:val="00833329"/>
    <w:rsid w:val="008334F8"/>
    <w:rsid w:val="0083407B"/>
    <w:rsid w:val="008342D8"/>
    <w:rsid w:val="008346F4"/>
    <w:rsid w:val="00835079"/>
    <w:rsid w:val="008350C9"/>
    <w:rsid w:val="0083590A"/>
    <w:rsid w:val="00835D8C"/>
    <w:rsid w:val="00837148"/>
    <w:rsid w:val="00837295"/>
    <w:rsid w:val="00837880"/>
    <w:rsid w:val="00837964"/>
    <w:rsid w:val="008400E2"/>
    <w:rsid w:val="00840B9D"/>
    <w:rsid w:val="0084214E"/>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276"/>
    <w:rsid w:val="00850344"/>
    <w:rsid w:val="0085051E"/>
    <w:rsid w:val="008514F8"/>
    <w:rsid w:val="008516CE"/>
    <w:rsid w:val="00851B36"/>
    <w:rsid w:val="00851CCC"/>
    <w:rsid w:val="0085229A"/>
    <w:rsid w:val="0085264B"/>
    <w:rsid w:val="008526D7"/>
    <w:rsid w:val="0085285C"/>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211C"/>
    <w:rsid w:val="008627D9"/>
    <w:rsid w:val="00863119"/>
    <w:rsid w:val="00863A38"/>
    <w:rsid w:val="00863A66"/>
    <w:rsid w:val="00863C47"/>
    <w:rsid w:val="0086470B"/>
    <w:rsid w:val="00864B57"/>
    <w:rsid w:val="00864DDA"/>
    <w:rsid w:val="0086537F"/>
    <w:rsid w:val="008653E7"/>
    <w:rsid w:val="00865934"/>
    <w:rsid w:val="00865A3A"/>
    <w:rsid w:val="008662E9"/>
    <w:rsid w:val="00866624"/>
    <w:rsid w:val="0086662B"/>
    <w:rsid w:val="0086692F"/>
    <w:rsid w:val="00866DC2"/>
    <w:rsid w:val="008704F1"/>
    <w:rsid w:val="008707B9"/>
    <w:rsid w:val="00871158"/>
    <w:rsid w:val="0087125E"/>
    <w:rsid w:val="008733E6"/>
    <w:rsid w:val="00873439"/>
    <w:rsid w:val="00874C8E"/>
    <w:rsid w:val="00875132"/>
    <w:rsid w:val="008752A6"/>
    <w:rsid w:val="008757D3"/>
    <w:rsid w:val="00875892"/>
    <w:rsid w:val="00875DD6"/>
    <w:rsid w:val="0087640A"/>
    <w:rsid w:val="008765A8"/>
    <w:rsid w:val="008766F2"/>
    <w:rsid w:val="00876A84"/>
    <w:rsid w:val="00876E2F"/>
    <w:rsid w:val="00877068"/>
    <w:rsid w:val="00877873"/>
    <w:rsid w:val="00877889"/>
    <w:rsid w:val="008778B3"/>
    <w:rsid w:val="00877E85"/>
    <w:rsid w:val="00877F69"/>
    <w:rsid w:val="008802E1"/>
    <w:rsid w:val="008802F7"/>
    <w:rsid w:val="00880C87"/>
    <w:rsid w:val="008818CE"/>
    <w:rsid w:val="008818FD"/>
    <w:rsid w:val="008819A3"/>
    <w:rsid w:val="00881E4B"/>
    <w:rsid w:val="00881F99"/>
    <w:rsid w:val="008825F1"/>
    <w:rsid w:val="00882C8F"/>
    <w:rsid w:val="00883283"/>
    <w:rsid w:val="00883A47"/>
    <w:rsid w:val="008843CA"/>
    <w:rsid w:val="00884BA0"/>
    <w:rsid w:val="0088500B"/>
    <w:rsid w:val="00885884"/>
    <w:rsid w:val="00885FCE"/>
    <w:rsid w:val="00886528"/>
    <w:rsid w:val="00886BFD"/>
    <w:rsid w:val="00886DB4"/>
    <w:rsid w:val="00887558"/>
    <w:rsid w:val="00887DEB"/>
    <w:rsid w:val="008906D2"/>
    <w:rsid w:val="008910CF"/>
    <w:rsid w:val="00891C08"/>
    <w:rsid w:val="00891C5C"/>
    <w:rsid w:val="00891F4A"/>
    <w:rsid w:val="00892629"/>
    <w:rsid w:val="008931AA"/>
    <w:rsid w:val="00893522"/>
    <w:rsid w:val="00893ADC"/>
    <w:rsid w:val="008947BD"/>
    <w:rsid w:val="008948C4"/>
    <w:rsid w:val="0089567A"/>
    <w:rsid w:val="00895820"/>
    <w:rsid w:val="00895F3C"/>
    <w:rsid w:val="00896224"/>
    <w:rsid w:val="00896B74"/>
    <w:rsid w:val="00896CA2"/>
    <w:rsid w:val="00897588"/>
    <w:rsid w:val="008975FC"/>
    <w:rsid w:val="00897A05"/>
    <w:rsid w:val="00897B73"/>
    <w:rsid w:val="00897BC7"/>
    <w:rsid w:val="00897EEE"/>
    <w:rsid w:val="008A0245"/>
    <w:rsid w:val="008A048E"/>
    <w:rsid w:val="008A0E7D"/>
    <w:rsid w:val="008A1177"/>
    <w:rsid w:val="008A11E8"/>
    <w:rsid w:val="008A1307"/>
    <w:rsid w:val="008A14D2"/>
    <w:rsid w:val="008A1557"/>
    <w:rsid w:val="008A17A8"/>
    <w:rsid w:val="008A227C"/>
    <w:rsid w:val="008A250B"/>
    <w:rsid w:val="008A2DB9"/>
    <w:rsid w:val="008A2EB7"/>
    <w:rsid w:val="008A3D6C"/>
    <w:rsid w:val="008A4046"/>
    <w:rsid w:val="008A4341"/>
    <w:rsid w:val="008A4495"/>
    <w:rsid w:val="008A4BE0"/>
    <w:rsid w:val="008A4C93"/>
    <w:rsid w:val="008A4FE0"/>
    <w:rsid w:val="008A5136"/>
    <w:rsid w:val="008A537B"/>
    <w:rsid w:val="008A5B1A"/>
    <w:rsid w:val="008A5F74"/>
    <w:rsid w:val="008A605E"/>
    <w:rsid w:val="008A7189"/>
    <w:rsid w:val="008A7ABC"/>
    <w:rsid w:val="008B082F"/>
    <w:rsid w:val="008B13A3"/>
    <w:rsid w:val="008B14DC"/>
    <w:rsid w:val="008B209D"/>
    <w:rsid w:val="008B2AEF"/>
    <w:rsid w:val="008B2EED"/>
    <w:rsid w:val="008B3944"/>
    <w:rsid w:val="008B3A9E"/>
    <w:rsid w:val="008B3ADB"/>
    <w:rsid w:val="008B3B05"/>
    <w:rsid w:val="008B55E4"/>
    <w:rsid w:val="008B5ECA"/>
    <w:rsid w:val="008B5F4A"/>
    <w:rsid w:val="008B600B"/>
    <w:rsid w:val="008B664C"/>
    <w:rsid w:val="008B6802"/>
    <w:rsid w:val="008B6830"/>
    <w:rsid w:val="008B6D96"/>
    <w:rsid w:val="008B73F7"/>
    <w:rsid w:val="008B74D0"/>
    <w:rsid w:val="008B75AD"/>
    <w:rsid w:val="008B7634"/>
    <w:rsid w:val="008C0313"/>
    <w:rsid w:val="008C1EF5"/>
    <w:rsid w:val="008C20C1"/>
    <w:rsid w:val="008C2682"/>
    <w:rsid w:val="008C29FC"/>
    <w:rsid w:val="008C2A81"/>
    <w:rsid w:val="008C2AC6"/>
    <w:rsid w:val="008C301A"/>
    <w:rsid w:val="008C3D2F"/>
    <w:rsid w:val="008C51BF"/>
    <w:rsid w:val="008C51D6"/>
    <w:rsid w:val="008C5400"/>
    <w:rsid w:val="008C56B7"/>
    <w:rsid w:val="008C5E4E"/>
    <w:rsid w:val="008C5F90"/>
    <w:rsid w:val="008C6CF1"/>
    <w:rsid w:val="008C7073"/>
    <w:rsid w:val="008C7123"/>
    <w:rsid w:val="008C782D"/>
    <w:rsid w:val="008C7B41"/>
    <w:rsid w:val="008C7B99"/>
    <w:rsid w:val="008D07E4"/>
    <w:rsid w:val="008D1ADB"/>
    <w:rsid w:val="008D1D63"/>
    <w:rsid w:val="008D1F49"/>
    <w:rsid w:val="008D2006"/>
    <w:rsid w:val="008D2754"/>
    <w:rsid w:val="008D2A1A"/>
    <w:rsid w:val="008D3773"/>
    <w:rsid w:val="008D397B"/>
    <w:rsid w:val="008D4065"/>
    <w:rsid w:val="008D4628"/>
    <w:rsid w:val="008D4C01"/>
    <w:rsid w:val="008D4CA0"/>
    <w:rsid w:val="008D4E55"/>
    <w:rsid w:val="008D5129"/>
    <w:rsid w:val="008D5C27"/>
    <w:rsid w:val="008D6292"/>
    <w:rsid w:val="008D6EDE"/>
    <w:rsid w:val="008D71A1"/>
    <w:rsid w:val="008D789D"/>
    <w:rsid w:val="008E218A"/>
    <w:rsid w:val="008E2403"/>
    <w:rsid w:val="008E2637"/>
    <w:rsid w:val="008E28E8"/>
    <w:rsid w:val="008E3002"/>
    <w:rsid w:val="008E32D9"/>
    <w:rsid w:val="008E3376"/>
    <w:rsid w:val="008E35F2"/>
    <w:rsid w:val="008E36A4"/>
    <w:rsid w:val="008E3D97"/>
    <w:rsid w:val="008E3E7E"/>
    <w:rsid w:val="008E4134"/>
    <w:rsid w:val="008E461D"/>
    <w:rsid w:val="008E4EED"/>
    <w:rsid w:val="008E504D"/>
    <w:rsid w:val="008E5479"/>
    <w:rsid w:val="008E5603"/>
    <w:rsid w:val="008E57D9"/>
    <w:rsid w:val="008E59D7"/>
    <w:rsid w:val="008E5F2F"/>
    <w:rsid w:val="008E6001"/>
    <w:rsid w:val="008E6BCA"/>
    <w:rsid w:val="008E6CD7"/>
    <w:rsid w:val="008E7C56"/>
    <w:rsid w:val="008E7E26"/>
    <w:rsid w:val="008F0888"/>
    <w:rsid w:val="008F1624"/>
    <w:rsid w:val="008F1D86"/>
    <w:rsid w:val="008F2B6A"/>
    <w:rsid w:val="008F2E91"/>
    <w:rsid w:val="008F2F12"/>
    <w:rsid w:val="008F3250"/>
    <w:rsid w:val="008F37CB"/>
    <w:rsid w:val="008F440C"/>
    <w:rsid w:val="008F44D7"/>
    <w:rsid w:val="008F4BF7"/>
    <w:rsid w:val="008F4E63"/>
    <w:rsid w:val="008F4E7C"/>
    <w:rsid w:val="008F4F7C"/>
    <w:rsid w:val="008F5544"/>
    <w:rsid w:val="008F56E7"/>
    <w:rsid w:val="008F5DDC"/>
    <w:rsid w:val="008F7209"/>
    <w:rsid w:val="008F726E"/>
    <w:rsid w:val="008F726F"/>
    <w:rsid w:val="009006E6"/>
    <w:rsid w:val="00901761"/>
    <w:rsid w:val="00901877"/>
    <w:rsid w:val="00901B3D"/>
    <w:rsid w:val="009023EA"/>
    <w:rsid w:val="00902485"/>
    <w:rsid w:val="009025B9"/>
    <w:rsid w:val="009028AA"/>
    <w:rsid w:val="00903221"/>
    <w:rsid w:val="00903D63"/>
    <w:rsid w:val="00904289"/>
    <w:rsid w:val="00904430"/>
    <w:rsid w:val="00904826"/>
    <w:rsid w:val="00905204"/>
    <w:rsid w:val="00905234"/>
    <w:rsid w:val="009052CB"/>
    <w:rsid w:val="009059BD"/>
    <w:rsid w:val="00905B0F"/>
    <w:rsid w:val="00906255"/>
    <w:rsid w:val="00906EBA"/>
    <w:rsid w:val="009074E4"/>
    <w:rsid w:val="00907501"/>
    <w:rsid w:val="0091072F"/>
    <w:rsid w:val="00910753"/>
    <w:rsid w:val="00910FEB"/>
    <w:rsid w:val="00911401"/>
    <w:rsid w:val="0091144B"/>
    <w:rsid w:val="009117B2"/>
    <w:rsid w:val="00912065"/>
    <w:rsid w:val="009120DB"/>
    <w:rsid w:val="0091251D"/>
    <w:rsid w:val="009125C8"/>
    <w:rsid w:val="009132C7"/>
    <w:rsid w:val="00913BA4"/>
    <w:rsid w:val="00913CE4"/>
    <w:rsid w:val="00913DBA"/>
    <w:rsid w:val="00914735"/>
    <w:rsid w:val="00914AB6"/>
    <w:rsid w:val="00914AC8"/>
    <w:rsid w:val="00914D6B"/>
    <w:rsid w:val="009150CB"/>
    <w:rsid w:val="00915276"/>
    <w:rsid w:val="0091555B"/>
    <w:rsid w:val="0091621E"/>
    <w:rsid w:val="00916A53"/>
    <w:rsid w:val="009178FD"/>
    <w:rsid w:val="00917D57"/>
    <w:rsid w:val="00917D9F"/>
    <w:rsid w:val="00917E37"/>
    <w:rsid w:val="00920003"/>
    <w:rsid w:val="0092026C"/>
    <w:rsid w:val="009206CC"/>
    <w:rsid w:val="0092081B"/>
    <w:rsid w:val="009216FD"/>
    <w:rsid w:val="00921C50"/>
    <w:rsid w:val="00921CD8"/>
    <w:rsid w:val="00923A0E"/>
    <w:rsid w:val="00923F2F"/>
    <w:rsid w:val="00924173"/>
    <w:rsid w:val="00924962"/>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A12"/>
    <w:rsid w:val="00932D74"/>
    <w:rsid w:val="009343BC"/>
    <w:rsid w:val="0093547D"/>
    <w:rsid w:val="00935FB9"/>
    <w:rsid w:val="0093664E"/>
    <w:rsid w:val="00937237"/>
    <w:rsid w:val="0093751C"/>
    <w:rsid w:val="0093758D"/>
    <w:rsid w:val="009377A1"/>
    <w:rsid w:val="00937875"/>
    <w:rsid w:val="00940BF3"/>
    <w:rsid w:val="00940BF8"/>
    <w:rsid w:val="00940C76"/>
    <w:rsid w:val="0094129B"/>
    <w:rsid w:val="009419F5"/>
    <w:rsid w:val="009427BD"/>
    <w:rsid w:val="009427C9"/>
    <w:rsid w:val="0094457B"/>
    <w:rsid w:val="00945B62"/>
    <w:rsid w:val="00945BD3"/>
    <w:rsid w:val="0094674A"/>
    <w:rsid w:val="00946B9D"/>
    <w:rsid w:val="0094747C"/>
    <w:rsid w:val="0094797F"/>
    <w:rsid w:val="00947D06"/>
    <w:rsid w:val="009509C0"/>
    <w:rsid w:val="00950C03"/>
    <w:rsid w:val="00950D33"/>
    <w:rsid w:val="00951958"/>
    <w:rsid w:val="0095215E"/>
    <w:rsid w:val="00952C7D"/>
    <w:rsid w:val="00952FF8"/>
    <w:rsid w:val="00953010"/>
    <w:rsid w:val="009531CE"/>
    <w:rsid w:val="00953993"/>
    <w:rsid w:val="00953A2A"/>
    <w:rsid w:val="00953D8B"/>
    <w:rsid w:val="00955096"/>
    <w:rsid w:val="0095553F"/>
    <w:rsid w:val="00955C7B"/>
    <w:rsid w:val="009560C1"/>
    <w:rsid w:val="00956D72"/>
    <w:rsid w:val="00956DBE"/>
    <w:rsid w:val="00957313"/>
    <w:rsid w:val="0095781B"/>
    <w:rsid w:val="00960268"/>
    <w:rsid w:val="00960458"/>
    <w:rsid w:val="00960720"/>
    <w:rsid w:val="00960F12"/>
    <w:rsid w:val="00961810"/>
    <w:rsid w:val="00961C9F"/>
    <w:rsid w:val="009623B8"/>
    <w:rsid w:val="00962D25"/>
    <w:rsid w:val="00962DB5"/>
    <w:rsid w:val="00962F9D"/>
    <w:rsid w:val="009630E3"/>
    <w:rsid w:val="00963346"/>
    <w:rsid w:val="009650C9"/>
    <w:rsid w:val="009661FB"/>
    <w:rsid w:val="00966635"/>
    <w:rsid w:val="00967716"/>
    <w:rsid w:val="00967D00"/>
    <w:rsid w:val="00967FCC"/>
    <w:rsid w:val="0097007D"/>
    <w:rsid w:val="00970425"/>
    <w:rsid w:val="00970614"/>
    <w:rsid w:val="0097342D"/>
    <w:rsid w:val="00973BDB"/>
    <w:rsid w:val="00973F55"/>
    <w:rsid w:val="0097411A"/>
    <w:rsid w:val="0097445D"/>
    <w:rsid w:val="00974FB8"/>
    <w:rsid w:val="00975774"/>
    <w:rsid w:val="00976092"/>
    <w:rsid w:val="009760A4"/>
    <w:rsid w:val="009767D8"/>
    <w:rsid w:val="00976C61"/>
    <w:rsid w:val="00976D9B"/>
    <w:rsid w:val="00977000"/>
    <w:rsid w:val="00977577"/>
    <w:rsid w:val="009778BF"/>
    <w:rsid w:val="00977BC1"/>
    <w:rsid w:val="00977D5B"/>
    <w:rsid w:val="00977D69"/>
    <w:rsid w:val="00980B85"/>
    <w:rsid w:val="00980FE3"/>
    <w:rsid w:val="0098146C"/>
    <w:rsid w:val="009814F6"/>
    <w:rsid w:val="0098180C"/>
    <w:rsid w:val="00981ED0"/>
    <w:rsid w:val="009821F2"/>
    <w:rsid w:val="009823D9"/>
    <w:rsid w:val="00982A49"/>
    <w:rsid w:val="00982C46"/>
    <w:rsid w:val="00982DC9"/>
    <w:rsid w:val="00983331"/>
    <w:rsid w:val="009834D3"/>
    <w:rsid w:val="00983AC5"/>
    <w:rsid w:val="0098451D"/>
    <w:rsid w:val="009847E2"/>
    <w:rsid w:val="00984D27"/>
    <w:rsid w:val="00985269"/>
    <w:rsid w:val="00985594"/>
    <w:rsid w:val="009862EA"/>
    <w:rsid w:val="0098662C"/>
    <w:rsid w:val="009870D9"/>
    <w:rsid w:val="00987E9A"/>
    <w:rsid w:val="00990094"/>
    <w:rsid w:val="00990927"/>
    <w:rsid w:val="00990D9F"/>
    <w:rsid w:val="009910FA"/>
    <w:rsid w:val="009911CF"/>
    <w:rsid w:val="00991625"/>
    <w:rsid w:val="00991976"/>
    <w:rsid w:val="00991B42"/>
    <w:rsid w:val="00992838"/>
    <w:rsid w:val="00992E85"/>
    <w:rsid w:val="00993128"/>
    <w:rsid w:val="00993153"/>
    <w:rsid w:val="009935DD"/>
    <w:rsid w:val="00993B68"/>
    <w:rsid w:val="00993D2F"/>
    <w:rsid w:val="009946AF"/>
    <w:rsid w:val="009948D8"/>
    <w:rsid w:val="009955E8"/>
    <w:rsid w:val="00995B58"/>
    <w:rsid w:val="00996212"/>
    <w:rsid w:val="0099633C"/>
    <w:rsid w:val="009966D9"/>
    <w:rsid w:val="00997383"/>
    <w:rsid w:val="009973FD"/>
    <w:rsid w:val="009976F5"/>
    <w:rsid w:val="00997B57"/>
    <w:rsid w:val="009A0206"/>
    <w:rsid w:val="009A04D1"/>
    <w:rsid w:val="009A08CA"/>
    <w:rsid w:val="009A0EEE"/>
    <w:rsid w:val="009A10E3"/>
    <w:rsid w:val="009A1492"/>
    <w:rsid w:val="009A1503"/>
    <w:rsid w:val="009A1BCE"/>
    <w:rsid w:val="009A22EF"/>
    <w:rsid w:val="009A28EE"/>
    <w:rsid w:val="009A31F3"/>
    <w:rsid w:val="009A341E"/>
    <w:rsid w:val="009A36E9"/>
    <w:rsid w:val="009A424E"/>
    <w:rsid w:val="009A4671"/>
    <w:rsid w:val="009A4875"/>
    <w:rsid w:val="009A4AEA"/>
    <w:rsid w:val="009A4DC6"/>
    <w:rsid w:val="009A4E23"/>
    <w:rsid w:val="009A598F"/>
    <w:rsid w:val="009A6293"/>
    <w:rsid w:val="009A66C7"/>
    <w:rsid w:val="009A6903"/>
    <w:rsid w:val="009A6FE8"/>
    <w:rsid w:val="009B0501"/>
    <w:rsid w:val="009B0583"/>
    <w:rsid w:val="009B05A8"/>
    <w:rsid w:val="009B09A9"/>
    <w:rsid w:val="009B0DDD"/>
    <w:rsid w:val="009B132E"/>
    <w:rsid w:val="009B1654"/>
    <w:rsid w:val="009B166D"/>
    <w:rsid w:val="009B18F3"/>
    <w:rsid w:val="009B1E16"/>
    <w:rsid w:val="009B1F0A"/>
    <w:rsid w:val="009B20EF"/>
    <w:rsid w:val="009B2371"/>
    <w:rsid w:val="009B2A85"/>
    <w:rsid w:val="009B2F58"/>
    <w:rsid w:val="009B31EC"/>
    <w:rsid w:val="009B34C2"/>
    <w:rsid w:val="009B3781"/>
    <w:rsid w:val="009B395D"/>
    <w:rsid w:val="009B4A42"/>
    <w:rsid w:val="009B5449"/>
    <w:rsid w:val="009B5591"/>
    <w:rsid w:val="009B5A56"/>
    <w:rsid w:val="009B5CB5"/>
    <w:rsid w:val="009B6C0C"/>
    <w:rsid w:val="009B75D3"/>
    <w:rsid w:val="009B7CCA"/>
    <w:rsid w:val="009B7DAF"/>
    <w:rsid w:val="009C0956"/>
    <w:rsid w:val="009C09E8"/>
    <w:rsid w:val="009C10D9"/>
    <w:rsid w:val="009C14E3"/>
    <w:rsid w:val="009C1D2B"/>
    <w:rsid w:val="009C1FBC"/>
    <w:rsid w:val="009C204C"/>
    <w:rsid w:val="009C2539"/>
    <w:rsid w:val="009C2555"/>
    <w:rsid w:val="009C25A8"/>
    <w:rsid w:val="009C2DEA"/>
    <w:rsid w:val="009C2FBD"/>
    <w:rsid w:val="009C339F"/>
    <w:rsid w:val="009C3C8B"/>
    <w:rsid w:val="009C414A"/>
    <w:rsid w:val="009C45BC"/>
    <w:rsid w:val="009C49A2"/>
    <w:rsid w:val="009C4D6A"/>
    <w:rsid w:val="009C500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4DFB"/>
    <w:rsid w:val="009D54A1"/>
    <w:rsid w:val="009D5625"/>
    <w:rsid w:val="009D567F"/>
    <w:rsid w:val="009D5BE6"/>
    <w:rsid w:val="009D5C8F"/>
    <w:rsid w:val="009D6EE3"/>
    <w:rsid w:val="009D774A"/>
    <w:rsid w:val="009E00E8"/>
    <w:rsid w:val="009E0C2E"/>
    <w:rsid w:val="009E0C64"/>
    <w:rsid w:val="009E0E40"/>
    <w:rsid w:val="009E19E4"/>
    <w:rsid w:val="009E1AB9"/>
    <w:rsid w:val="009E24D2"/>
    <w:rsid w:val="009E2585"/>
    <w:rsid w:val="009E2620"/>
    <w:rsid w:val="009E2B6C"/>
    <w:rsid w:val="009E3A8C"/>
    <w:rsid w:val="009E3AD5"/>
    <w:rsid w:val="009E4255"/>
    <w:rsid w:val="009E45A4"/>
    <w:rsid w:val="009E4789"/>
    <w:rsid w:val="009E513C"/>
    <w:rsid w:val="009E51EC"/>
    <w:rsid w:val="009E59B4"/>
    <w:rsid w:val="009E602A"/>
    <w:rsid w:val="009E6CCA"/>
    <w:rsid w:val="009E75E8"/>
    <w:rsid w:val="009E7842"/>
    <w:rsid w:val="009F0655"/>
    <w:rsid w:val="009F0D4D"/>
    <w:rsid w:val="009F1658"/>
    <w:rsid w:val="009F1822"/>
    <w:rsid w:val="009F187D"/>
    <w:rsid w:val="009F2048"/>
    <w:rsid w:val="009F3392"/>
    <w:rsid w:val="009F35ED"/>
    <w:rsid w:val="009F4102"/>
    <w:rsid w:val="009F452A"/>
    <w:rsid w:val="009F4A33"/>
    <w:rsid w:val="009F4E7E"/>
    <w:rsid w:val="009F4ED8"/>
    <w:rsid w:val="009F4FB4"/>
    <w:rsid w:val="009F509E"/>
    <w:rsid w:val="009F51B0"/>
    <w:rsid w:val="009F51EF"/>
    <w:rsid w:val="009F53C7"/>
    <w:rsid w:val="009F58B1"/>
    <w:rsid w:val="009F5B6B"/>
    <w:rsid w:val="009F5B70"/>
    <w:rsid w:val="009F5FC0"/>
    <w:rsid w:val="009F6225"/>
    <w:rsid w:val="009F6243"/>
    <w:rsid w:val="009F691A"/>
    <w:rsid w:val="009F6B9E"/>
    <w:rsid w:val="009F6C5A"/>
    <w:rsid w:val="009F6FD8"/>
    <w:rsid w:val="009F6FFA"/>
    <w:rsid w:val="009F710C"/>
    <w:rsid w:val="009F7DAD"/>
    <w:rsid w:val="00A00110"/>
    <w:rsid w:val="00A022BB"/>
    <w:rsid w:val="00A02D8D"/>
    <w:rsid w:val="00A02FAA"/>
    <w:rsid w:val="00A03AD8"/>
    <w:rsid w:val="00A045F5"/>
    <w:rsid w:val="00A04D5A"/>
    <w:rsid w:val="00A04DB4"/>
    <w:rsid w:val="00A04F6E"/>
    <w:rsid w:val="00A052DD"/>
    <w:rsid w:val="00A05344"/>
    <w:rsid w:val="00A05546"/>
    <w:rsid w:val="00A055BC"/>
    <w:rsid w:val="00A05C08"/>
    <w:rsid w:val="00A0630D"/>
    <w:rsid w:val="00A06815"/>
    <w:rsid w:val="00A0688A"/>
    <w:rsid w:val="00A07432"/>
    <w:rsid w:val="00A07797"/>
    <w:rsid w:val="00A1033C"/>
    <w:rsid w:val="00A108AF"/>
    <w:rsid w:val="00A1095C"/>
    <w:rsid w:val="00A11237"/>
    <w:rsid w:val="00A117AA"/>
    <w:rsid w:val="00A11ACD"/>
    <w:rsid w:val="00A11B5F"/>
    <w:rsid w:val="00A11D74"/>
    <w:rsid w:val="00A129E7"/>
    <w:rsid w:val="00A12E11"/>
    <w:rsid w:val="00A136C1"/>
    <w:rsid w:val="00A13A3F"/>
    <w:rsid w:val="00A13BA4"/>
    <w:rsid w:val="00A13DCD"/>
    <w:rsid w:val="00A13DE8"/>
    <w:rsid w:val="00A141EB"/>
    <w:rsid w:val="00A148FB"/>
    <w:rsid w:val="00A14A9D"/>
    <w:rsid w:val="00A14D5C"/>
    <w:rsid w:val="00A1511A"/>
    <w:rsid w:val="00A15AE3"/>
    <w:rsid w:val="00A15AF2"/>
    <w:rsid w:val="00A16036"/>
    <w:rsid w:val="00A16047"/>
    <w:rsid w:val="00A161CB"/>
    <w:rsid w:val="00A16325"/>
    <w:rsid w:val="00A165B4"/>
    <w:rsid w:val="00A16DD2"/>
    <w:rsid w:val="00A176F7"/>
    <w:rsid w:val="00A17848"/>
    <w:rsid w:val="00A179C6"/>
    <w:rsid w:val="00A17D54"/>
    <w:rsid w:val="00A17F5B"/>
    <w:rsid w:val="00A17F61"/>
    <w:rsid w:val="00A205D6"/>
    <w:rsid w:val="00A20D8E"/>
    <w:rsid w:val="00A21C15"/>
    <w:rsid w:val="00A22A3F"/>
    <w:rsid w:val="00A22B91"/>
    <w:rsid w:val="00A2314C"/>
    <w:rsid w:val="00A234BC"/>
    <w:rsid w:val="00A23903"/>
    <w:rsid w:val="00A23AB3"/>
    <w:rsid w:val="00A23B0A"/>
    <w:rsid w:val="00A2414F"/>
    <w:rsid w:val="00A2466D"/>
    <w:rsid w:val="00A248C0"/>
    <w:rsid w:val="00A24D3B"/>
    <w:rsid w:val="00A24FF7"/>
    <w:rsid w:val="00A25379"/>
    <w:rsid w:val="00A25675"/>
    <w:rsid w:val="00A25952"/>
    <w:rsid w:val="00A25A10"/>
    <w:rsid w:val="00A25C09"/>
    <w:rsid w:val="00A263E4"/>
    <w:rsid w:val="00A26621"/>
    <w:rsid w:val="00A271CE"/>
    <w:rsid w:val="00A27552"/>
    <w:rsid w:val="00A27AD6"/>
    <w:rsid w:val="00A27D02"/>
    <w:rsid w:val="00A27DDF"/>
    <w:rsid w:val="00A30226"/>
    <w:rsid w:val="00A30FB0"/>
    <w:rsid w:val="00A313A6"/>
    <w:rsid w:val="00A314F3"/>
    <w:rsid w:val="00A316E5"/>
    <w:rsid w:val="00A31B3E"/>
    <w:rsid w:val="00A32250"/>
    <w:rsid w:val="00A32913"/>
    <w:rsid w:val="00A335B3"/>
    <w:rsid w:val="00A33840"/>
    <w:rsid w:val="00A33A12"/>
    <w:rsid w:val="00A33BE6"/>
    <w:rsid w:val="00A33D45"/>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127"/>
    <w:rsid w:val="00A414B1"/>
    <w:rsid w:val="00A419A0"/>
    <w:rsid w:val="00A426A6"/>
    <w:rsid w:val="00A42711"/>
    <w:rsid w:val="00A42C42"/>
    <w:rsid w:val="00A4340A"/>
    <w:rsid w:val="00A43FFB"/>
    <w:rsid w:val="00A444D7"/>
    <w:rsid w:val="00A44619"/>
    <w:rsid w:val="00A452B3"/>
    <w:rsid w:val="00A45769"/>
    <w:rsid w:val="00A458ED"/>
    <w:rsid w:val="00A45B21"/>
    <w:rsid w:val="00A45C12"/>
    <w:rsid w:val="00A4602A"/>
    <w:rsid w:val="00A46BF7"/>
    <w:rsid w:val="00A46CDE"/>
    <w:rsid w:val="00A46E25"/>
    <w:rsid w:val="00A478D7"/>
    <w:rsid w:val="00A50204"/>
    <w:rsid w:val="00A505D3"/>
    <w:rsid w:val="00A50AC7"/>
    <w:rsid w:val="00A50F97"/>
    <w:rsid w:val="00A5193B"/>
    <w:rsid w:val="00A51994"/>
    <w:rsid w:val="00A51A32"/>
    <w:rsid w:val="00A51AE3"/>
    <w:rsid w:val="00A5212B"/>
    <w:rsid w:val="00A523EE"/>
    <w:rsid w:val="00A52CF1"/>
    <w:rsid w:val="00A538CF"/>
    <w:rsid w:val="00A53960"/>
    <w:rsid w:val="00A53D28"/>
    <w:rsid w:val="00A53FD8"/>
    <w:rsid w:val="00A54671"/>
    <w:rsid w:val="00A54784"/>
    <w:rsid w:val="00A548DD"/>
    <w:rsid w:val="00A554E4"/>
    <w:rsid w:val="00A557D4"/>
    <w:rsid w:val="00A55D41"/>
    <w:rsid w:val="00A56E7B"/>
    <w:rsid w:val="00A57045"/>
    <w:rsid w:val="00A57D42"/>
    <w:rsid w:val="00A60342"/>
    <w:rsid w:val="00A60AB5"/>
    <w:rsid w:val="00A6135C"/>
    <w:rsid w:val="00A61D52"/>
    <w:rsid w:val="00A61E34"/>
    <w:rsid w:val="00A62D0F"/>
    <w:rsid w:val="00A63316"/>
    <w:rsid w:val="00A63567"/>
    <w:rsid w:val="00A64770"/>
    <w:rsid w:val="00A649FF"/>
    <w:rsid w:val="00A654CF"/>
    <w:rsid w:val="00A65728"/>
    <w:rsid w:val="00A659AC"/>
    <w:rsid w:val="00A65D01"/>
    <w:rsid w:val="00A67179"/>
    <w:rsid w:val="00A672C0"/>
    <w:rsid w:val="00A67D78"/>
    <w:rsid w:val="00A702BF"/>
    <w:rsid w:val="00A70316"/>
    <w:rsid w:val="00A70350"/>
    <w:rsid w:val="00A707C5"/>
    <w:rsid w:val="00A712C1"/>
    <w:rsid w:val="00A72136"/>
    <w:rsid w:val="00A72F5D"/>
    <w:rsid w:val="00A730E4"/>
    <w:rsid w:val="00A73151"/>
    <w:rsid w:val="00A73A30"/>
    <w:rsid w:val="00A73D2A"/>
    <w:rsid w:val="00A73D4F"/>
    <w:rsid w:val="00A73D52"/>
    <w:rsid w:val="00A73FC3"/>
    <w:rsid w:val="00A74318"/>
    <w:rsid w:val="00A743D4"/>
    <w:rsid w:val="00A743E0"/>
    <w:rsid w:val="00A744FE"/>
    <w:rsid w:val="00A747B6"/>
    <w:rsid w:val="00A7480B"/>
    <w:rsid w:val="00A74810"/>
    <w:rsid w:val="00A74E5A"/>
    <w:rsid w:val="00A750A5"/>
    <w:rsid w:val="00A754D9"/>
    <w:rsid w:val="00A75680"/>
    <w:rsid w:val="00A75C8C"/>
    <w:rsid w:val="00A77330"/>
    <w:rsid w:val="00A77BBC"/>
    <w:rsid w:val="00A805F3"/>
    <w:rsid w:val="00A8287E"/>
    <w:rsid w:val="00A828BB"/>
    <w:rsid w:val="00A82E8B"/>
    <w:rsid w:val="00A8346A"/>
    <w:rsid w:val="00A8347F"/>
    <w:rsid w:val="00A83486"/>
    <w:rsid w:val="00A838EA"/>
    <w:rsid w:val="00A83DC8"/>
    <w:rsid w:val="00A8400C"/>
    <w:rsid w:val="00A84100"/>
    <w:rsid w:val="00A84A9D"/>
    <w:rsid w:val="00A84BB6"/>
    <w:rsid w:val="00A84EF3"/>
    <w:rsid w:val="00A8599A"/>
    <w:rsid w:val="00A85E51"/>
    <w:rsid w:val="00A873F6"/>
    <w:rsid w:val="00A8755F"/>
    <w:rsid w:val="00A87C8C"/>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4B32"/>
    <w:rsid w:val="00A951AB"/>
    <w:rsid w:val="00A9522A"/>
    <w:rsid w:val="00A955A4"/>
    <w:rsid w:val="00A95830"/>
    <w:rsid w:val="00A967DC"/>
    <w:rsid w:val="00A96C99"/>
    <w:rsid w:val="00A96D36"/>
    <w:rsid w:val="00A9700C"/>
    <w:rsid w:val="00A971F2"/>
    <w:rsid w:val="00A975F5"/>
    <w:rsid w:val="00A97C93"/>
    <w:rsid w:val="00A97EA1"/>
    <w:rsid w:val="00AA012B"/>
    <w:rsid w:val="00AA014A"/>
    <w:rsid w:val="00AA0289"/>
    <w:rsid w:val="00AA06E0"/>
    <w:rsid w:val="00AA077C"/>
    <w:rsid w:val="00AA0AE4"/>
    <w:rsid w:val="00AA0DF8"/>
    <w:rsid w:val="00AA0F21"/>
    <w:rsid w:val="00AA0FB0"/>
    <w:rsid w:val="00AA128E"/>
    <w:rsid w:val="00AA12DD"/>
    <w:rsid w:val="00AA1480"/>
    <w:rsid w:val="00AA1697"/>
    <w:rsid w:val="00AA227D"/>
    <w:rsid w:val="00AA249C"/>
    <w:rsid w:val="00AA24B6"/>
    <w:rsid w:val="00AA33B7"/>
    <w:rsid w:val="00AA4E95"/>
    <w:rsid w:val="00AA4F7E"/>
    <w:rsid w:val="00AA5555"/>
    <w:rsid w:val="00AA55B3"/>
    <w:rsid w:val="00AA5ED0"/>
    <w:rsid w:val="00AA6C33"/>
    <w:rsid w:val="00AA75DE"/>
    <w:rsid w:val="00AA76F0"/>
    <w:rsid w:val="00AA7C8A"/>
    <w:rsid w:val="00AB0A4E"/>
    <w:rsid w:val="00AB0A66"/>
    <w:rsid w:val="00AB1D30"/>
    <w:rsid w:val="00AB2DBC"/>
    <w:rsid w:val="00AB2EB2"/>
    <w:rsid w:val="00AB4ABB"/>
    <w:rsid w:val="00AB4F6B"/>
    <w:rsid w:val="00AB536E"/>
    <w:rsid w:val="00AB5621"/>
    <w:rsid w:val="00AB5911"/>
    <w:rsid w:val="00AB5A88"/>
    <w:rsid w:val="00AB5AE4"/>
    <w:rsid w:val="00AB5BB8"/>
    <w:rsid w:val="00AB5D54"/>
    <w:rsid w:val="00AB60F2"/>
    <w:rsid w:val="00AB674C"/>
    <w:rsid w:val="00AB6804"/>
    <w:rsid w:val="00AB6E5C"/>
    <w:rsid w:val="00AB7056"/>
    <w:rsid w:val="00AB7C1E"/>
    <w:rsid w:val="00AC0A0A"/>
    <w:rsid w:val="00AC0D4B"/>
    <w:rsid w:val="00AC110C"/>
    <w:rsid w:val="00AC14B9"/>
    <w:rsid w:val="00AC1586"/>
    <w:rsid w:val="00AC1F06"/>
    <w:rsid w:val="00AC2003"/>
    <w:rsid w:val="00AC2227"/>
    <w:rsid w:val="00AC3F82"/>
    <w:rsid w:val="00AC4620"/>
    <w:rsid w:val="00AC4B37"/>
    <w:rsid w:val="00AC524C"/>
    <w:rsid w:val="00AC541B"/>
    <w:rsid w:val="00AC5B10"/>
    <w:rsid w:val="00AC5BCB"/>
    <w:rsid w:val="00AC60AB"/>
    <w:rsid w:val="00AC60D6"/>
    <w:rsid w:val="00AC7693"/>
    <w:rsid w:val="00AC7C13"/>
    <w:rsid w:val="00AD0823"/>
    <w:rsid w:val="00AD0855"/>
    <w:rsid w:val="00AD0DB2"/>
    <w:rsid w:val="00AD1453"/>
    <w:rsid w:val="00AD1ABD"/>
    <w:rsid w:val="00AD1B51"/>
    <w:rsid w:val="00AD1BF8"/>
    <w:rsid w:val="00AD27EC"/>
    <w:rsid w:val="00AD2AAB"/>
    <w:rsid w:val="00AD2E99"/>
    <w:rsid w:val="00AD36CD"/>
    <w:rsid w:val="00AD37BF"/>
    <w:rsid w:val="00AD3C18"/>
    <w:rsid w:val="00AD3C6F"/>
    <w:rsid w:val="00AD4357"/>
    <w:rsid w:val="00AD45EA"/>
    <w:rsid w:val="00AD49E3"/>
    <w:rsid w:val="00AD4A0E"/>
    <w:rsid w:val="00AD4D9D"/>
    <w:rsid w:val="00AD5031"/>
    <w:rsid w:val="00AD670D"/>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228"/>
    <w:rsid w:val="00AE644A"/>
    <w:rsid w:val="00AE70FE"/>
    <w:rsid w:val="00AE7672"/>
    <w:rsid w:val="00AE7DE0"/>
    <w:rsid w:val="00AE7EB8"/>
    <w:rsid w:val="00AF01DD"/>
    <w:rsid w:val="00AF0709"/>
    <w:rsid w:val="00AF0761"/>
    <w:rsid w:val="00AF077B"/>
    <w:rsid w:val="00AF1261"/>
    <w:rsid w:val="00AF1454"/>
    <w:rsid w:val="00AF15EE"/>
    <w:rsid w:val="00AF1A45"/>
    <w:rsid w:val="00AF2F8F"/>
    <w:rsid w:val="00AF34C6"/>
    <w:rsid w:val="00AF4B32"/>
    <w:rsid w:val="00AF501B"/>
    <w:rsid w:val="00AF53BD"/>
    <w:rsid w:val="00AF5749"/>
    <w:rsid w:val="00AF6D69"/>
    <w:rsid w:val="00AF6DF7"/>
    <w:rsid w:val="00AF6FF3"/>
    <w:rsid w:val="00AF702A"/>
    <w:rsid w:val="00AF72A0"/>
    <w:rsid w:val="00AF73F6"/>
    <w:rsid w:val="00AF753B"/>
    <w:rsid w:val="00AF7F27"/>
    <w:rsid w:val="00B00005"/>
    <w:rsid w:val="00B00758"/>
    <w:rsid w:val="00B00AA1"/>
    <w:rsid w:val="00B00E70"/>
    <w:rsid w:val="00B029F2"/>
    <w:rsid w:val="00B02C4C"/>
    <w:rsid w:val="00B03441"/>
    <w:rsid w:val="00B037EE"/>
    <w:rsid w:val="00B03F1C"/>
    <w:rsid w:val="00B0449E"/>
    <w:rsid w:val="00B04B25"/>
    <w:rsid w:val="00B04C15"/>
    <w:rsid w:val="00B0528A"/>
    <w:rsid w:val="00B05513"/>
    <w:rsid w:val="00B05517"/>
    <w:rsid w:val="00B05FD1"/>
    <w:rsid w:val="00B0607F"/>
    <w:rsid w:val="00B06A12"/>
    <w:rsid w:val="00B06F3B"/>
    <w:rsid w:val="00B075C3"/>
    <w:rsid w:val="00B0793A"/>
    <w:rsid w:val="00B07C60"/>
    <w:rsid w:val="00B07E36"/>
    <w:rsid w:val="00B07EEA"/>
    <w:rsid w:val="00B103D4"/>
    <w:rsid w:val="00B10ABC"/>
    <w:rsid w:val="00B10B75"/>
    <w:rsid w:val="00B10DF1"/>
    <w:rsid w:val="00B10EFA"/>
    <w:rsid w:val="00B11290"/>
    <w:rsid w:val="00B11BAB"/>
    <w:rsid w:val="00B12190"/>
    <w:rsid w:val="00B123DA"/>
    <w:rsid w:val="00B12C80"/>
    <w:rsid w:val="00B12E5A"/>
    <w:rsid w:val="00B131C9"/>
    <w:rsid w:val="00B132D1"/>
    <w:rsid w:val="00B13454"/>
    <w:rsid w:val="00B13707"/>
    <w:rsid w:val="00B13756"/>
    <w:rsid w:val="00B13894"/>
    <w:rsid w:val="00B13DC9"/>
    <w:rsid w:val="00B13F68"/>
    <w:rsid w:val="00B14121"/>
    <w:rsid w:val="00B14745"/>
    <w:rsid w:val="00B148C9"/>
    <w:rsid w:val="00B14B76"/>
    <w:rsid w:val="00B15538"/>
    <w:rsid w:val="00B15679"/>
    <w:rsid w:val="00B15A09"/>
    <w:rsid w:val="00B15A9A"/>
    <w:rsid w:val="00B16302"/>
    <w:rsid w:val="00B16D17"/>
    <w:rsid w:val="00B17208"/>
    <w:rsid w:val="00B17398"/>
    <w:rsid w:val="00B17569"/>
    <w:rsid w:val="00B177C8"/>
    <w:rsid w:val="00B20265"/>
    <w:rsid w:val="00B206C7"/>
    <w:rsid w:val="00B20A6F"/>
    <w:rsid w:val="00B20B01"/>
    <w:rsid w:val="00B214B9"/>
    <w:rsid w:val="00B2162A"/>
    <w:rsid w:val="00B21CC6"/>
    <w:rsid w:val="00B21CD4"/>
    <w:rsid w:val="00B21DBA"/>
    <w:rsid w:val="00B21EF3"/>
    <w:rsid w:val="00B2218B"/>
    <w:rsid w:val="00B2231E"/>
    <w:rsid w:val="00B237C5"/>
    <w:rsid w:val="00B23D20"/>
    <w:rsid w:val="00B240AF"/>
    <w:rsid w:val="00B243AA"/>
    <w:rsid w:val="00B2499D"/>
    <w:rsid w:val="00B24DE3"/>
    <w:rsid w:val="00B2547E"/>
    <w:rsid w:val="00B258D7"/>
    <w:rsid w:val="00B25DDC"/>
    <w:rsid w:val="00B262CA"/>
    <w:rsid w:val="00B2767D"/>
    <w:rsid w:val="00B2780D"/>
    <w:rsid w:val="00B27EBE"/>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6C2A"/>
    <w:rsid w:val="00B37515"/>
    <w:rsid w:val="00B37F82"/>
    <w:rsid w:val="00B407D0"/>
    <w:rsid w:val="00B40DBA"/>
    <w:rsid w:val="00B41258"/>
    <w:rsid w:val="00B41B99"/>
    <w:rsid w:val="00B41CDA"/>
    <w:rsid w:val="00B42256"/>
    <w:rsid w:val="00B426E2"/>
    <w:rsid w:val="00B42B4E"/>
    <w:rsid w:val="00B43B0E"/>
    <w:rsid w:val="00B43D4E"/>
    <w:rsid w:val="00B4462A"/>
    <w:rsid w:val="00B44B24"/>
    <w:rsid w:val="00B45956"/>
    <w:rsid w:val="00B45E95"/>
    <w:rsid w:val="00B4603B"/>
    <w:rsid w:val="00B4615C"/>
    <w:rsid w:val="00B46FA6"/>
    <w:rsid w:val="00B470E0"/>
    <w:rsid w:val="00B4753A"/>
    <w:rsid w:val="00B47A42"/>
    <w:rsid w:val="00B506DE"/>
    <w:rsid w:val="00B50811"/>
    <w:rsid w:val="00B50B16"/>
    <w:rsid w:val="00B51668"/>
    <w:rsid w:val="00B51FFA"/>
    <w:rsid w:val="00B52A5B"/>
    <w:rsid w:val="00B52C5A"/>
    <w:rsid w:val="00B53B8F"/>
    <w:rsid w:val="00B544CE"/>
    <w:rsid w:val="00B5452C"/>
    <w:rsid w:val="00B547B7"/>
    <w:rsid w:val="00B549DE"/>
    <w:rsid w:val="00B54B00"/>
    <w:rsid w:val="00B55A84"/>
    <w:rsid w:val="00B55B4E"/>
    <w:rsid w:val="00B56418"/>
    <w:rsid w:val="00B566D6"/>
    <w:rsid w:val="00B567F6"/>
    <w:rsid w:val="00B569A3"/>
    <w:rsid w:val="00B56BE2"/>
    <w:rsid w:val="00B57CCD"/>
    <w:rsid w:val="00B57FBF"/>
    <w:rsid w:val="00B60998"/>
    <w:rsid w:val="00B60B34"/>
    <w:rsid w:val="00B6160E"/>
    <w:rsid w:val="00B61840"/>
    <w:rsid w:val="00B61B3D"/>
    <w:rsid w:val="00B61BBE"/>
    <w:rsid w:val="00B62DF6"/>
    <w:rsid w:val="00B636D9"/>
    <w:rsid w:val="00B63D82"/>
    <w:rsid w:val="00B63D92"/>
    <w:rsid w:val="00B6419F"/>
    <w:rsid w:val="00B64953"/>
    <w:rsid w:val="00B65427"/>
    <w:rsid w:val="00B665DB"/>
    <w:rsid w:val="00B66627"/>
    <w:rsid w:val="00B66E39"/>
    <w:rsid w:val="00B67488"/>
    <w:rsid w:val="00B67795"/>
    <w:rsid w:val="00B70644"/>
    <w:rsid w:val="00B71191"/>
    <w:rsid w:val="00B7154C"/>
    <w:rsid w:val="00B7185B"/>
    <w:rsid w:val="00B72B15"/>
    <w:rsid w:val="00B72C39"/>
    <w:rsid w:val="00B73D32"/>
    <w:rsid w:val="00B73F7D"/>
    <w:rsid w:val="00B74583"/>
    <w:rsid w:val="00B7461A"/>
    <w:rsid w:val="00B75030"/>
    <w:rsid w:val="00B754EA"/>
    <w:rsid w:val="00B75ACC"/>
    <w:rsid w:val="00B75FE1"/>
    <w:rsid w:val="00B777AA"/>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6E9"/>
    <w:rsid w:val="00B84C1C"/>
    <w:rsid w:val="00B859EE"/>
    <w:rsid w:val="00B85DD8"/>
    <w:rsid w:val="00B86D9C"/>
    <w:rsid w:val="00B86E5C"/>
    <w:rsid w:val="00B86EF4"/>
    <w:rsid w:val="00B870F7"/>
    <w:rsid w:val="00B87703"/>
    <w:rsid w:val="00B87BB0"/>
    <w:rsid w:val="00B87DD1"/>
    <w:rsid w:val="00B87E1B"/>
    <w:rsid w:val="00B87E9C"/>
    <w:rsid w:val="00B90404"/>
    <w:rsid w:val="00B9088D"/>
    <w:rsid w:val="00B90FA8"/>
    <w:rsid w:val="00B91604"/>
    <w:rsid w:val="00B9177A"/>
    <w:rsid w:val="00B93A2C"/>
    <w:rsid w:val="00B93A3A"/>
    <w:rsid w:val="00B93E4C"/>
    <w:rsid w:val="00B94055"/>
    <w:rsid w:val="00B94972"/>
    <w:rsid w:val="00B94BD0"/>
    <w:rsid w:val="00B94D26"/>
    <w:rsid w:val="00B94FC2"/>
    <w:rsid w:val="00B9578A"/>
    <w:rsid w:val="00B9643F"/>
    <w:rsid w:val="00B965B4"/>
    <w:rsid w:val="00B96878"/>
    <w:rsid w:val="00B968D0"/>
    <w:rsid w:val="00B96936"/>
    <w:rsid w:val="00B96E4A"/>
    <w:rsid w:val="00B979C9"/>
    <w:rsid w:val="00BA0095"/>
    <w:rsid w:val="00BA015D"/>
    <w:rsid w:val="00BA09B3"/>
    <w:rsid w:val="00BA14EC"/>
    <w:rsid w:val="00BA1EF0"/>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5C73"/>
    <w:rsid w:val="00BA7DB5"/>
    <w:rsid w:val="00BB03C1"/>
    <w:rsid w:val="00BB0976"/>
    <w:rsid w:val="00BB157E"/>
    <w:rsid w:val="00BB1A58"/>
    <w:rsid w:val="00BB2299"/>
    <w:rsid w:val="00BB3693"/>
    <w:rsid w:val="00BB380F"/>
    <w:rsid w:val="00BB3DDC"/>
    <w:rsid w:val="00BB3F38"/>
    <w:rsid w:val="00BB52B2"/>
    <w:rsid w:val="00BB52ED"/>
    <w:rsid w:val="00BB55B5"/>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1B85"/>
    <w:rsid w:val="00BC2A31"/>
    <w:rsid w:val="00BC2A84"/>
    <w:rsid w:val="00BC2BF9"/>
    <w:rsid w:val="00BC3310"/>
    <w:rsid w:val="00BC3C64"/>
    <w:rsid w:val="00BC3C76"/>
    <w:rsid w:val="00BC40A6"/>
    <w:rsid w:val="00BC42E0"/>
    <w:rsid w:val="00BC442F"/>
    <w:rsid w:val="00BC4E30"/>
    <w:rsid w:val="00BC5352"/>
    <w:rsid w:val="00BC5665"/>
    <w:rsid w:val="00BC5900"/>
    <w:rsid w:val="00BC5AC9"/>
    <w:rsid w:val="00BC6825"/>
    <w:rsid w:val="00BC7DCD"/>
    <w:rsid w:val="00BD0321"/>
    <w:rsid w:val="00BD0CC7"/>
    <w:rsid w:val="00BD1449"/>
    <w:rsid w:val="00BD1960"/>
    <w:rsid w:val="00BD1B01"/>
    <w:rsid w:val="00BD2023"/>
    <w:rsid w:val="00BD271A"/>
    <w:rsid w:val="00BD2A94"/>
    <w:rsid w:val="00BD2C6C"/>
    <w:rsid w:val="00BD2D6E"/>
    <w:rsid w:val="00BD2EF8"/>
    <w:rsid w:val="00BD2F6C"/>
    <w:rsid w:val="00BD37DB"/>
    <w:rsid w:val="00BD38DC"/>
    <w:rsid w:val="00BD3B0C"/>
    <w:rsid w:val="00BD3BF4"/>
    <w:rsid w:val="00BD4032"/>
    <w:rsid w:val="00BD5023"/>
    <w:rsid w:val="00BD56FA"/>
    <w:rsid w:val="00BD5882"/>
    <w:rsid w:val="00BD6A59"/>
    <w:rsid w:val="00BD6F4D"/>
    <w:rsid w:val="00BD70EF"/>
    <w:rsid w:val="00BD712B"/>
    <w:rsid w:val="00BD76A3"/>
    <w:rsid w:val="00BD772A"/>
    <w:rsid w:val="00BD7836"/>
    <w:rsid w:val="00BD79BD"/>
    <w:rsid w:val="00BE042E"/>
    <w:rsid w:val="00BE0CC6"/>
    <w:rsid w:val="00BE119C"/>
    <w:rsid w:val="00BE16BC"/>
    <w:rsid w:val="00BE1816"/>
    <w:rsid w:val="00BE2D8A"/>
    <w:rsid w:val="00BE36E7"/>
    <w:rsid w:val="00BE38F7"/>
    <w:rsid w:val="00BE38FC"/>
    <w:rsid w:val="00BE3AE1"/>
    <w:rsid w:val="00BE3CF0"/>
    <w:rsid w:val="00BE3D86"/>
    <w:rsid w:val="00BE3FFB"/>
    <w:rsid w:val="00BE41E4"/>
    <w:rsid w:val="00BE468C"/>
    <w:rsid w:val="00BE4D2D"/>
    <w:rsid w:val="00BE50A6"/>
    <w:rsid w:val="00BE51B5"/>
    <w:rsid w:val="00BE55B8"/>
    <w:rsid w:val="00BE5D0A"/>
    <w:rsid w:val="00BE6CD9"/>
    <w:rsid w:val="00BE72E2"/>
    <w:rsid w:val="00BE7594"/>
    <w:rsid w:val="00BE7BFA"/>
    <w:rsid w:val="00BF0CB5"/>
    <w:rsid w:val="00BF0D91"/>
    <w:rsid w:val="00BF0F91"/>
    <w:rsid w:val="00BF12E2"/>
    <w:rsid w:val="00BF24DD"/>
    <w:rsid w:val="00BF2637"/>
    <w:rsid w:val="00BF270B"/>
    <w:rsid w:val="00BF289B"/>
    <w:rsid w:val="00BF48C3"/>
    <w:rsid w:val="00BF4D74"/>
    <w:rsid w:val="00BF53ED"/>
    <w:rsid w:val="00BF54D4"/>
    <w:rsid w:val="00BF5E86"/>
    <w:rsid w:val="00BF6F28"/>
    <w:rsid w:val="00BF709F"/>
    <w:rsid w:val="00BF725D"/>
    <w:rsid w:val="00BF77F0"/>
    <w:rsid w:val="00C00079"/>
    <w:rsid w:val="00C00698"/>
    <w:rsid w:val="00C00C81"/>
    <w:rsid w:val="00C00F90"/>
    <w:rsid w:val="00C0107B"/>
    <w:rsid w:val="00C015EF"/>
    <w:rsid w:val="00C0194E"/>
    <w:rsid w:val="00C021AD"/>
    <w:rsid w:val="00C02C44"/>
    <w:rsid w:val="00C02E09"/>
    <w:rsid w:val="00C0334A"/>
    <w:rsid w:val="00C033F7"/>
    <w:rsid w:val="00C03988"/>
    <w:rsid w:val="00C045B1"/>
    <w:rsid w:val="00C04689"/>
    <w:rsid w:val="00C05454"/>
    <w:rsid w:val="00C06DB3"/>
    <w:rsid w:val="00C071F3"/>
    <w:rsid w:val="00C07DE2"/>
    <w:rsid w:val="00C102B5"/>
    <w:rsid w:val="00C1033D"/>
    <w:rsid w:val="00C10BFB"/>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4DCD"/>
    <w:rsid w:val="00C154CF"/>
    <w:rsid w:val="00C16663"/>
    <w:rsid w:val="00C170F6"/>
    <w:rsid w:val="00C20283"/>
    <w:rsid w:val="00C20551"/>
    <w:rsid w:val="00C20809"/>
    <w:rsid w:val="00C208AC"/>
    <w:rsid w:val="00C20DFF"/>
    <w:rsid w:val="00C20F9F"/>
    <w:rsid w:val="00C213A0"/>
    <w:rsid w:val="00C2148D"/>
    <w:rsid w:val="00C21B55"/>
    <w:rsid w:val="00C21EC2"/>
    <w:rsid w:val="00C2226A"/>
    <w:rsid w:val="00C22340"/>
    <w:rsid w:val="00C22CF3"/>
    <w:rsid w:val="00C23295"/>
    <w:rsid w:val="00C234AF"/>
    <w:rsid w:val="00C23DD5"/>
    <w:rsid w:val="00C244F6"/>
    <w:rsid w:val="00C24C36"/>
    <w:rsid w:val="00C25DCF"/>
    <w:rsid w:val="00C26002"/>
    <w:rsid w:val="00C26301"/>
    <w:rsid w:val="00C2632D"/>
    <w:rsid w:val="00C26532"/>
    <w:rsid w:val="00C26E34"/>
    <w:rsid w:val="00C272CF"/>
    <w:rsid w:val="00C2730D"/>
    <w:rsid w:val="00C2757F"/>
    <w:rsid w:val="00C301D3"/>
    <w:rsid w:val="00C3057D"/>
    <w:rsid w:val="00C309AF"/>
    <w:rsid w:val="00C30D58"/>
    <w:rsid w:val="00C3171C"/>
    <w:rsid w:val="00C31CDB"/>
    <w:rsid w:val="00C31FCF"/>
    <w:rsid w:val="00C3234F"/>
    <w:rsid w:val="00C32555"/>
    <w:rsid w:val="00C3284C"/>
    <w:rsid w:val="00C32C49"/>
    <w:rsid w:val="00C335AA"/>
    <w:rsid w:val="00C3455D"/>
    <w:rsid w:val="00C36B20"/>
    <w:rsid w:val="00C374E2"/>
    <w:rsid w:val="00C37B16"/>
    <w:rsid w:val="00C37DC4"/>
    <w:rsid w:val="00C37F6F"/>
    <w:rsid w:val="00C408BC"/>
    <w:rsid w:val="00C412D0"/>
    <w:rsid w:val="00C41E27"/>
    <w:rsid w:val="00C42265"/>
    <w:rsid w:val="00C430B0"/>
    <w:rsid w:val="00C43318"/>
    <w:rsid w:val="00C43C27"/>
    <w:rsid w:val="00C43C48"/>
    <w:rsid w:val="00C43D3B"/>
    <w:rsid w:val="00C44068"/>
    <w:rsid w:val="00C441E0"/>
    <w:rsid w:val="00C44246"/>
    <w:rsid w:val="00C444A5"/>
    <w:rsid w:val="00C44870"/>
    <w:rsid w:val="00C44DFF"/>
    <w:rsid w:val="00C44E16"/>
    <w:rsid w:val="00C451D0"/>
    <w:rsid w:val="00C45B08"/>
    <w:rsid w:val="00C45F94"/>
    <w:rsid w:val="00C460FC"/>
    <w:rsid w:val="00C4637A"/>
    <w:rsid w:val="00C467A4"/>
    <w:rsid w:val="00C46881"/>
    <w:rsid w:val="00C4688C"/>
    <w:rsid w:val="00C47110"/>
    <w:rsid w:val="00C477A6"/>
    <w:rsid w:val="00C509B1"/>
    <w:rsid w:val="00C51206"/>
    <w:rsid w:val="00C5157A"/>
    <w:rsid w:val="00C5177B"/>
    <w:rsid w:val="00C51867"/>
    <w:rsid w:val="00C521ED"/>
    <w:rsid w:val="00C52A71"/>
    <w:rsid w:val="00C52F0C"/>
    <w:rsid w:val="00C53A8B"/>
    <w:rsid w:val="00C53B19"/>
    <w:rsid w:val="00C5460B"/>
    <w:rsid w:val="00C55048"/>
    <w:rsid w:val="00C550E9"/>
    <w:rsid w:val="00C552D5"/>
    <w:rsid w:val="00C5554B"/>
    <w:rsid w:val="00C55A10"/>
    <w:rsid w:val="00C55F52"/>
    <w:rsid w:val="00C567F7"/>
    <w:rsid w:val="00C568F9"/>
    <w:rsid w:val="00C57575"/>
    <w:rsid w:val="00C57A46"/>
    <w:rsid w:val="00C57AD5"/>
    <w:rsid w:val="00C606D5"/>
    <w:rsid w:val="00C60A22"/>
    <w:rsid w:val="00C612A1"/>
    <w:rsid w:val="00C615BA"/>
    <w:rsid w:val="00C615CE"/>
    <w:rsid w:val="00C61F41"/>
    <w:rsid w:val="00C61FF2"/>
    <w:rsid w:val="00C62272"/>
    <w:rsid w:val="00C629CF"/>
    <w:rsid w:val="00C6309C"/>
    <w:rsid w:val="00C634CD"/>
    <w:rsid w:val="00C63A06"/>
    <w:rsid w:val="00C63A45"/>
    <w:rsid w:val="00C63B65"/>
    <w:rsid w:val="00C63C39"/>
    <w:rsid w:val="00C64113"/>
    <w:rsid w:val="00C647DB"/>
    <w:rsid w:val="00C64888"/>
    <w:rsid w:val="00C64981"/>
    <w:rsid w:val="00C6520C"/>
    <w:rsid w:val="00C65E28"/>
    <w:rsid w:val="00C662EE"/>
    <w:rsid w:val="00C663EF"/>
    <w:rsid w:val="00C669EE"/>
    <w:rsid w:val="00C66B18"/>
    <w:rsid w:val="00C6740F"/>
    <w:rsid w:val="00C6741A"/>
    <w:rsid w:val="00C67826"/>
    <w:rsid w:val="00C7026E"/>
    <w:rsid w:val="00C705AE"/>
    <w:rsid w:val="00C70D13"/>
    <w:rsid w:val="00C71C17"/>
    <w:rsid w:val="00C71F1B"/>
    <w:rsid w:val="00C724F4"/>
    <w:rsid w:val="00C72625"/>
    <w:rsid w:val="00C72785"/>
    <w:rsid w:val="00C72C1E"/>
    <w:rsid w:val="00C73008"/>
    <w:rsid w:val="00C73037"/>
    <w:rsid w:val="00C73615"/>
    <w:rsid w:val="00C73AD2"/>
    <w:rsid w:val="00C74183"/>
    <w:rsid w:val="00C74631"/>
    <w:rsid w:val="00C74E96"/>
    <w:rsid w:val="00C75044"/>
    <w:rsid w:val="00C76E33"/>
    <w:rsid w:val="00C77134"/>
    <w:rsid w:val="00C7726E"/>
    <w:rsid w:val="00C80061"/>
    <w:rsid w:val="00C80C41"/>
    <w:rsid w:val="00C81397"/>
    <w:rsid w:val="00C8211D"/>
    <w:rsid w:val="00C833EE"/>
    <w:rsid w:val="00C841D4"/>
    <w:rsid w:val="00C84BD9"/>
    <w:rsid w:val="00C84BDC"/>
    <w:rsid w:val="00C84EDB"/>
    <w:rsid w:val="00C84F8D"/>
    <w:rsid w:val="00C85256"/>
    <w:rsid w:val="00C85FA7"/>
    <w:rsid w:val="00C85FED"/>
    <w:rsid w:val="00C863A7"/>
    <w:rsid w:val="00C863E5"/>
    <w:rsid w:val="00C86433"/>
    <w:rsid w:val="00C865EF"/>
    <w:rsid w:val="00C86667"/>
    <w:rsid w:val="00C86792"/>
    <w:rsid w:val="00C86AE4"/>
    <w:rsid w:val="00C86FE6"/>
    <w:rsid w:val="00C87B1D"/>
    <w:rsid w:val="00C87F52"/>
    <w:rsid w:val="00C900C0"/>
    <w:rsid w:val="00C90718"/>
    <w:rsid w:val="00C90907"/>
    <w:rsid w:val="00C909DE"/>
    <w:rsid w:val="00C90F87"/>
    <w:rsid w:val="00C91666"/>
    <w:rsid w:val="00C91D80"/>
    <w:rsid w:val="00C91EB9"/>
    <w:rsid w:val="00C91ED0"/>
    <w:rsid w:val="00C91F4F"/>
    <w:rsid w:val="00C92491"/>
    <w:rsid w:val="00C92681"/>
    <w:rsid w:val="00C929EA"/>
    <w:rsid w:val="00C946EA"/>
    <w:rsid w:val="00C94B08"/>
    <w:rsid w:val="00C957C2"/>
    <w:rsid w:val="00C95A48"/>
    <w:rsid w:val="00C95B34"/>
    <w:rsid w:val="00C95B5B"/>
    <w:rsid w:val="00C967FA"/>
    <w:rsid w:val="00C97123"/>
    <w:rsid w:val="00C97679"/>
    <w:rsid w:val="00C97693"/>
    <w:rsid w:val="00C97705"/>
    <w:rsid w:val="00C9784C"/>
    <w:rsid w:val="00CA02F4"/>
    <w:rsid w:val="00CA05F3"/>
    <w:rsid w:val="00CA086E"/>
    <w:rsid w:val="00CA0AD2"/>
    <w:rsid w:val="00CA1205"/>
    <w:rsid w:val="00CA1DF3"/>
    <w:rsid w:val="00CA1FFE"/>
    <w:rsid w:val="00CA2DF9"/>
    <w:rsid w:val="00CA3EDC"/>
    <w:rsid w:val="00CA487C"/>
    <w:rsid w:val="00CA4C2F"/>
    <w:rsid w:val="00CA5CD0"/>
    <w:rsid w:val="00CA5E71"/>
    <w:rsid w:val="00CA615A"/>
    <w:rsid w:val="00CA64C6"/>
    <w:rsid w:val="00CA6951"/>
    <w:rsid w:val="00CA6BF1"/>
    <w:rsid w:val="00CA6DAF"/>
    <w:rsid w:val="00CA759C"/>
    <w:rsid w:val="00CA7869"/>
    <w:rsid w:val="00CA7A5F"/>
    <w:rsid w:val="00CA7DFD"/>
    <w:rsid w:val="00CA7E6B"/>
    <w:rsid w:val="00CB14DE"/>
    <w:rsid w:val="00CB1C9E"/>
    <w:rsid w:val="00CB2189"/>
    <w:rsid w:val="00CB2ADF"/>
    <w:rsid w:val="00CB36CD"/>
    <w:rsid w:val="00CB3790"/>
    <w:rsid w:val="00CB3928"/>
    <w:rsid w:val="00CB3C94"/>
    <w:rsid w:val="00CB3E87"/>
    <w:rsid w:val="00CB411C"/>
    <w:rsid w:val="00CB4908"/>
    <w:rsid w:val="00CB49DA"/>
    <w:rsid w:val="00CB4B7F"/>
    <w:rsid w:val="00CB4BCA"/>
    <w:rsid w:val="00CB4F74"/>
    <w:rsid w:val="00CB511A"/>
    <w:rsid w:val="00CB5438"/>
    <w:rsid w:val="00CB5A63"/>
    <w:rsid w:val="00CB6444"/>
    <w:rsid w:val="00CB6526"/>
    <w:rsid w:val="00CB6817"/>
    <w:rsid w:val="00CB6A30"/>
    <w:rsid w:val="00CB6ACD"/>
    <w:rsid w:val="00CB6F70"/>
    <w:rsid w:val="00CB7C23"/>
    <w:rsid w:val="00CB7DD5"/>
    <w:rsid w:val="00CB7DEA"/>
    <w:rsid w:val="00CC0065"/>
    <w:rsid w:val="00CC007A"/>
    <w:rsid w:val="00CC0523"/>
    <w:rsid w:val="00CC0532"/>
    <w:rsid w:val="00CC09B2"/>
    <w:rsid w:val="00CC0E57"/>
    <w:rsid w:val="00CC171F"/>
    <w:rsid w:val="00CC1A85"/>
    <w:rsid w:val="00CC1A9A"/>
    <w:rsid w:val="00CC2BE1"/>
    <w:rsid w:val="00CC2D70"/>
    <w:rsid w:val="00CC3790"/>
    <w:rsid w:val="00CC3A8B"/>
    <w:rsid w:val="00CC42CB"/>
    <w:rsid w:val="00CC48ED"/>
    <w:rsid w:val="00CC5E4A"/>
    <w:rsid w:val="00CC67FD"/>
    <w:rsid w:val="00CC6CEE"/>
    <w:rsid w:val="00CC7587"/>
    <w:rsid w:val="00CC7D40"/>
    <w:rsid w:val="00CD0153"/>
    <w:rsid w:val="00CD052C"/>
    <w:rsid w:val="00CD05A2"/>
    <w:rsid w:val="00CD1140"/>
    <w:rsid w:val="00CD12CF"/>
    <w:rsid w:val="00CD14E0"/>
    <w:rsid w:val="00CD157D"/>
    <w:rsid w:val="00CD1982"/>
    <w:rsid w:val="00CD1E16"/>
    <w:rsid w:val="00CD1E34"/>
    <w:rsid w:val="00CD2683"/>
    <w:rsid w:val="00CD2910"/>
    <w:rsid w:val="00CD3F40"/>
    <w:rsid w:val="00CD4224"/>
    <w:rsid w:val="00CD5B1C"/>
    <w:rsid w:val="00CD5D50"/>
    <w:rsid w:val="00CD5F04"/>
    <w:rsid w:val="00CD6925"/>
    <w:rsid w:val="00CD6C8A"/>
    <w:rsid w:val="00CD7087"/>
    <w:rsid w:val="00CD73C8"/>
    <w:rsid w:val="00CD760C"/>
    <w:rsid w:val="00CD7756"/>
    <w:rsid w:val="00CE0658"/>
    <w:rsid w:val="00CE0DF5"/>
    <w:rsid w:val="00CE1139"/>
    <w:rsid w:val="00CE1266"/>
    <w:rsid w:val="00CE1389"/>
    <w:rsid w:val="00CE148D"/>
    <w:rsid w:val="00CE1524"/>
    <w:rsid w:val="00CE17E4"/>
    <w:rsid w:val="00CE1A2B"/>
    <w:rsid w:val="00CE23BA"/>
    <w:rsid w:val="00CE24EF"/>
    <w:rsid w:val="00CE298E"/>
    <w:rsid w:val="00CE3143"/>
    <w:rsid w:val="00CE3237"/>
    <w:rsid w:val="00CE33A8"/>
    <w:rsid w:val="00CE38B1"/>
    <w:rsid w:val="00CE470D"/>
    <w:rsid w:val="00CE55AA"/>
    <w:rsid w:val="00CE57AF"/>
    <w:rsid w:val="00CE5B7B"/>
    <w:rsid w:val="00CE605D"/>
    <w:rsid w:val="00CE65C2"/>
    <w:rsid w:val="00CE6ED2"/>
    <w:rsid w:val="00CE7803"/>
    <w:rsid w:val="00CE78BF"/>
    <w:rsid w:val="00CE78DC"/>
    <w:rsid w:val="00CE7B7D"/>
    <w:rsid w:val="00CF05A5"/>
    <w:rsid w:val="00CF130F"/>
    <w:rsid w:val="00CF14DC"/>
    <w:rsid w:val="00CF1618"/>
    <w:rsid w:val="00CF1B75"/>
    <w:rsid w:val="00CF20E5"/>
    <w:rsid w:val="00CF3011"/>
    <w:rsid w:val="00CF345D"/>
    <w:rsid w:val="00CF385E"/>
    <w:rsid w:val="00CF3C49"/>
    <w:rsid w:val="00CF3DB0"/>
    <w:rsid w:val="00CF5BC7"/>
    <w:rsid w:val="00CF6B8E"/>
    <w:rsid w:val="00CF6D48"/>
    <w:rsid w:val="00CF6D8D"/>
    <w:rsid w:val="00CF753B"/>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388F"/>
    <w:rsid w:val="00D03DF0"/>
    <w:rsid w:val="00D0473E"/>
    <w:rsid w:val="00D04D1A"/>
    <w:rsid w:val="00D05582"/>
    <w:rsid w:val="00D05D98"/>
    <w:rsid w:val="00D05F6F"/>
    <w:rsid w:val="00D0610E"/>
    <w:rsid w:val="00D06126"/>
    <w:rsid w:val="00D06C41"/>
    <w:rsid w:val="00D07A7B"/>
    <w:rsid w:val="00D07AE8"/>
    <w:rsid w:val="00D07B8D"/>
    <w:rsid w:val="00D07FC5"/>
    <w:rsid w:val="00D10922"/>
    <w:rsid w:val="00D10D78"/>
    <w:rsid w:val="00D1182B"/>
    <w:rsid w:val="00D11878"/>
    <w:rsid w:val="00D11E41"/>
    <w:rsid w:val="00D1235C"/>
    <w:rsid w:val="00D12616"/>
    <w:rsid w:val="00D12ECA"/>
    <w:rsid w:val="00D134FF"/>
    <w:rsid w:val="00D13AB7"/>
    <w:rsid w:val="00D13CB0"/>
    <w:rsid w:val="00D13F8A"/>
    <w:rsid w:val="00D147CE"/>
    <w:rsid w:val="00D14A4B"/>
    <w:rsid w:val="00D14D3B"/>
    <w:rsid w:val="00D15150"/>
    <w:rsid w:val="00D1520E"/>
    <w:rsid w:val="00D15637"/>
    <w:rsid w:val="00D156CD"/>
    <w:rsid w:val="00D157FB"/>
    <w:rsid w:val="00D15E14"/>
    <w:rsid w:val="00D16E10"/>
    <w:rsid w:val="00D207C7"/>
    <w:rsid w:val="00D21B92"/>
    <w:rsid w:val="00D22F95"/>
    <w:rsid w:val="00D231BA"/>
    <w:rsid w:val="00D23350"/>
    <w:rsid w:val="00D23CAC"/>
    <w:rsid w:val="00D246FC"/>
    <w:rsid w:val="00D25983"/>
    <w:rsid w:val="00D25AC3"/>
    <w:rsid w:val="00D25F88"/>
    <w:rsid w:val="00D2619C"/>
    <w:rsid w:val="00D261E3"/>
    <w:rsid w:val="00D2650F"/>
    <w:rsid w:val="00D26672"/>
    <w:rsid w:val="00D26831"/>
    <w:rsid w:val="00D2693C"/>
    <w:rsid w:val="00D26A8A"/>
    <w:rsid w:val="00D26CCC"/>
    <w:rsid w:val="00D27107"/>
    <w:rsid w:val="00D278E5"/>
    <w:rsid w:val="00D3065C"/>
    <w:rsid w:val="00D309B1"/>
    <w:rsid w:val="00D30F56"/>
    <w:rsid w:val="00D318F8"/>
    <w:rsid w:val="00D31B24"/>
    <w:rsid w:val="00D31BE2"/>
    <w:rsid w:val="00D322B6"/>
    <w:rsid w:val="00D33218"/>
    <w:rsid w:val="00D337CD"/>
    <w:rsid w:val="00D33EBD"/>
    <w:rsid w:val="00D340E7"/>
    <w:rsid w:val="00D342A6"/>
    <w:rsid w:val="00D34F3C"/>
    <w:rsid w:val="00D3587B"/>
    <w:rsid w:val="00D364F5"/>
    <w:rsid w:val="00D3662F"/>
    <w:rsid w:val="00D36859"/>
    <w:rsid w:val="00D36BD1"/>
    <w:rsid w:val="00D36E9E"/>
    <w:rsid w:val="00D376EB"/>
    <w:rsid w:val="00D4052D"/>
    <w:rsid w:val="00D40E3A"/>
    <w:rsid w:val="00D40F45"/>
    <w:rsid w:val="00D41228"/>
    <w:rsid w:val="00D4223B"/>
    <w:rsid w:val="00D42DF9"/>
    <w:rsid w:val="00D42EF0"/>
    <w:rsid w:val="00D43049"/>
    <w:rsid w:val="00D43375"/>
    <w:rsid w:val="00D43655"/>
    <w:rsid w:val="00D43EC3"/>
    <w:rsid w:val="00D43F67"/>
    <w:rsid w:val="00D44171"/>
    <w:rsid w:val="00D45214"/>
    <w:rsid w:val="00D4533E"/>
    <w:rsid w:val="00D453AC"/>
    <w:rsid w:val="00D453B7"/>
    <w:rsid w:val="00D4543F"/>
    <w:rsid w:val="00D4584E"/>
    <w:rsid w:val="00D45EED"/>
    <w:rsid w:val="00D468A8"/>
    <w:rsid w:val="00D471A0"/>
    <w:rsid w:val="00D47294"/>
    <w:rsid w:val="00D478AF"/>
    <w:rsid w:val="00D47D7C"/>
    <w:rsid w:val="00D47FAA"/>
    <w:rsid w:val="00D50128"/>
    <w:rsid w:val="00D518A1"/>
    <w:rsid w:val="00D519AB"/>
    <w:rsid w:val="00D51B10"/>
    <w:rsid w:val="00D5205B"/>
    <w:rsid w:val="00D520FC"/>
    <w:rsid w:val="00D52566"/>
    <w:rsid w:val="00D533DF"/>
    <w:rsid w:val="00D534D3"/>
    <w:rsid w:val="00D53A20"/>
    <w:rsid w:val="00D54592"/>
    <w:rsid w:val="00D55489"/>
    <w:rsid w:val="00D55ABD"/>
    <w:rsid w:val="00D55C39"/>
    <w:rsid w:val="00D55C8F"/>
    <w:rsid w:val="00D56740"/>
    <w:rsid w:val="00D56E39"/>
    <w:rsid w:val="00D57256"/>
    <w:rsid w:val="00D60515"/>
    <w:rsid w:val="00D60929"/>
    <w:rsid w:val="00D60C09"/>
    <w:rsid w:val="00D6146A"/>
    <w:rsid w:val="00D61644"/>
    <w:rsid w:val="00D6183B"/>
    <w:rsid w:val="00D6202D"/>
    <w:rsid w:val="00D621F6"/>
    <w:rsid w:val="00D62266"/>
    <w:rsid w:val="00D6237A"/>
    <w:rsid w:val="00D62C73"/>
    <w:rsid w:val="00D635E4"/>
    <w:rsid w:val="00D639A1"/>
    <w:rsid w:val="00D63D91"/>
    <w:rsid w:val="00D64A1F"/>
    <w:rsid w:val="00D64CBA"/>
    <w:rsid w:val="00D64F41"/>
    <w:rsid w:val="00D65291"/>
    <w:rsid w:val="00D657AF"/>
    <w:rsid w:val="00D6596A"/>
    <w:rsid w:val="00D65B14"/>
    <w:rsid w:val="00D663AA"/>
    <w:rsid w:val="00D66D8D"/>
    <w:rsid w:val="00D6778A"/>
    <w:rsid w:val="00D678E2"/>
    <w:rsid w:val="00D67F31"/>
    <w:rsid w:val="00D67F87"/>
    <w:rsid w:val="00D70417"/>
    <w:rsid w:val="00D706FD"/>
    <w:rsid w:val="00D70BA0"/>
    <w:rsid w:val="00D70BDF"/>
    <w:rsid w:val="00D70F95"/>
    <w:rsid w:val="00D7102D"/>
    <w:rsid w:val="00D71853"/>
    <w:rsid w:val="00D71878"/>
    <w:rsid w:val="00D71C6E"/>
    <w:rsid w:val="00D72885"/>
    <w:rsid w:val="00D73353"/>
    <w:rsid w:val="00D73F3C"/>
    <w:rsid w:val="00D74CE1"/>
    <w:rsid w:val="00D74E2F"/>
    <w:rsid w:val="00D74FF6"/>
    <w:rsid w:val="00D759FB"/>
    <w:rsid w:val="00D75BF5"/>
    <w:rsid w:val="00D7614F"/>
    <w:rsid w:val="00D762B9"/>
    <w:rsid w:val="00D768AE"/>
    <w:rsid w:val="00D76E2C"/>
    <w:rsid w:val="00D76ED6"/>
    <w:rsid w:val="00D77549"/>
    <w:rsid w:val="00D7767A"/>
    <w:rsid w:val="00D77A37"/>
    <w:rsid w:val="00D8048C"/>
    <w:rsid w:val="00D807B5"/>
    <w:rsid w:val="00D80C6A"/>
    <w:rsid w:val="00D80E56"/>
    <w:rsid w:val="00D80FE2"/>
    <w:rsid w:val="00D8166B"/>
    <w:rsid w:val="00D81889"/>
    <w:rsid w:val="00D81D58"/>
    <w:rsid w:val="00D81F28"/>
    <w:rsid w:val="00D827F5"/>
    <w:rsid w:val="00D829C2"/>
    <w:rsid w:val="00D838CD"/>
    <w:rsid w:val="00D83AFD"/>
    <w:rsid w:val="00D83D2B"/>
    <w:rsid w:val="00D83E29"/>
    <w:rsid w:val="00D8409D"/>
    <w:rsid w:val="00D84141"/>
    <w:rsid w:val="00D847F1"/>
    <w:rsid w:val="00D84ED2"/>
    <w:rsid w:val="00D85126"/>
    <w:rsid w:val="00D8539B"/>
    <w:rsid w:val="00D85DF9"/>
    <w:rsid w:val="00D85F16"/>
    <w:rsid w:val="00D860E3"/>
    <w:rsid w:val="00D86C30"/>
    <w:rsid w:val="00D87082"/>
    <w:rsid w:val="00D877CE"/>
    <w:rsid w:val="00D8798A"/>
    <w:rsid w:val="00D87F28"/>
    <w:rsid w:val="00D9008D"/>
    <w:rsid w:val="00D905E7"/>
    <w:rsid w:val="00D907E9"/>
    <w:rsid w:val="00D90B64"/>
    <w:rsid w:val="00D90C1D"/>
    <w:rsid w:val="00D90E7C"/>
    <w:rsid w:val="00D90F4A"/>
    <w:rsid w:val="00D90F4C"/>
    <w:rsid w:val="00D9113E"/>
    <w:rsid w:val="00D91143"/>
    <w:rsid w:val="00D915B4"/>
    <w:rsid w:val="00D9160A"/>
    <w:rsid w:val="00D92029"/>
    <w:rsid w:val="00D92383"/>
    <w:rsid w:val="00D92BB0"/>
    <w:rsid w:val="00D92EF1"/>
    <w:rsid w:val="00D9374E"/>
    <w:rsid w:val="00D938AF"/>
    <w:rsid w:val="00D93D93"/>
    <w:rsid w:val="00D93E36"/>
    <w:rsid w:val="00D94165"/>
    <w:rsid w:val="00D94674"/>
    <w:rsid w:val="00D946F8"/>
    <w:rsid w:val="00D94883"/>
    <w:rsid w:val="00D94BF4"/>
    <w:rsid w:val="00D94C8D"/>
    <w:rsid w:val="00D953C5"/>
    <w:rsid w:val="00D95485"/>
    <w:rsid w:val="00D9580D"/>
    <w:rsid w:val="00D9595B"/>
    <w:rsid w:val="00D95A71"/>
    <w:rsid w:val="00D95AB4"/>
    <w:rsid w:val="00D95AD8"/>
    <w:rsid w:val="00D95E4C"/>
    <w:rsid w:val="00D95E8A"/>
    <w:rsid w:val="00D96003"/>
    <w:rsid w:val="00D9609A"/>
    <w:rsid w:val="00D96153"/>
    <w:rsid w:val="00D964F4"/>
    <w:rsid w:val="00D967DE"/>
    <w:rsid w:val="00D97CBB"/>
    <w:rsid w:val="00DA0786"/>
    <w:rsid w:val="00DA097C"/>
    <w:rsid w:val="00DA1B9E"/>
    <w:rsid w:val="00DA1C4F"/>
    <w:rsid w:val="00DA2636"/>
    <w:rsid w:val="00DA2EB0"/>
    <w:rsid w:val="00DA4312"/>
    <w:rsid w:val="00DA47FF"/>
    <w:rsid w:val="00DA4DD5"/>
    <w:rsid w:val="00DA4F61"/>
    <w:rsid w:val="00DA5121"/>
    <w:rsid w:val="00DA670C"/>
    <w:rsid w:val="00DA685C"/>
    <w:rsid w:val="00DA6C08"/>
    <w:rsid w:val="00DA6E66"/>
    <w:rsid w:val="00DA7397"/>
    <w:rsid w:val="00DA748D"/>
    <w:rsid w:val="00DA794B"/>
    <w:rsid w:val="00DA7DFA"/>
    <w:rsid w:val="00DA7F2B"/>
    <w:rsid w:val="00DB00D1"/>
    <w:rsid w:val="00DB0197"/>
    <w:rsid w:val="00DB0698"/>
    <w:rsid w:val="00DB0B56"/>
    <w:rsid w:val="00DB111F"/>
    <w:rsid w:val="00DB13E0"/>
    <w:rsid w:val="00DB1F1B"/>
    <w:rsid w:val="00DB2BBA"/>
    <w:rsid w:val="00DB2CF4"/>
    <w:rsid w:val="00DB33ED"/>
    <w:rsid w:val="00DB3856"/>
    <w:rsid w:val="00DB3E28"/>
    <w:rsid w:val="00DB3E81"/>
    <w:rsid w:val="00DB3EDA"/>
    <w:rsid w:val="00DB460D"/>
    <w:rsid w:val="00DB4AB5"/>
    <w:rsid w:val="00DB4AED"/>
    <w:rsid w:val="00DB4C9A"/>
    <w:rsid w:val="00DB539D"/>
    <w:rsid w:val="00DB5A3C"/>
    <w:rsid w:val="00DB6158"/>
    <w:rsid w:val="00DB62EA"/>
    <w:rsid w:val="00DB64E0"/>
    <w:rsid w:val="00DB696F"/>
    <w:rsid w:val="00DB6ABF"/>
    <w:rsid w:val="00DB6BD7"/>
    <w:rsid w:val="00DB7718"/>
    <w:rsid w:val="00DB77A6"/>
    <w:rsid w:val="00DB7B97"/>
    <w:rsid w:val="00DC0CB5"/>
    <w:rsid w:val="00DC0E5E"/>
    <w:rsid w:val="00DC176C"/>
    <w:rsid w:val="00DC1A41"/>
    <w:rsid w:val="00DC1BBE"/>
    <w:rsid w:val="00DC1EA3"/>
    <w:rsid w:val="00DC202F"/>
    <w:rsid w:val="00DC3519"/>
    <w:rsid w:val="00DC48F7"/>
    <w:rsid w:val="00DC523B"/>
    <w:rsid w:val="00DC586F"/>
    <w:rsid w:val="00DC5B3A"/>
    <w:rsid w:val="00DC5D87"/>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237"/>
    <w:rsid w:val="00DD6C6E"/>
    <w:rsid w:val="00DD71D6"/>
    <w:rsid w:val="00DD7944"/>
    <w:rsid w:val="00DD7B2A"/>
    <w:rsid w:val="00DE03A6"/>
    <w:rsid w:val="00DE03D3"/>
    <w:rsid w:val="00DE051C"/>
    <w:rsid w:val="00DE0FB5"/>
    <w:rsid w:val="00DE1137"/>
    <w:rsid w:val="00DE12F2"/>
    <w:rsid w:val="00DE2256"/>
    <w:rsid w:val="00DE2EE4"/>
    <w:rsid w:val="00DE3A62"/>
    <w:rsid w:val="00DE3AC9"/>
    <w:rsid w:val="00DE3C18"/>
    <w:rsid w:val="00DE5196"/>
    <w:rsid w:val="00DE5304"/>
    <w:rsid w:val="00DE57E0"/>
    <w:rsid w:val="00DE5C19"/>
    <w:rsid w:val="00DE5EC4"/>
    <w:rsid w:val="00DE5ED9"/>
    <w:rsid w:val="00DE6075"/>
    <w:rsid w:val="00DE60A8"/>
    <w:rsid w:val="00DE63D0"/>
    <w:rsid w:val="00DE6851"/>
    <w:rsid w:val="00DE7C29"/>
    <w:rsid w:val="00DF0F60"/>
    <w:rsid w:val="00DF1EFC"/>
    <w:rsid w:val="00DF2111"/>
    <w:rsid w:val="00DF2FAB"/>
    <w:rsid w:val="00DF30CE"/>
    <w:rsid w:val="00DF37C2"/>
    <w:rsid w:val="00DF38D1"/>
    <w:rsid w:val="00DF3A47"/>
    <w:rsid w:val="00DF3B65"/>
    <w:rsid w:val="00DF3F1C"/>
    <w:rsid w:val="00DF41C3"/>
    <w:rsid w:val="00DF440A"/>
    <w:rsid w:val="00DF4E2C"/>
    <w:rsid w:val="00DF4FCF"/>
    <w:rsid w:val="00DF58E6"/>
    <w:rsid w:val="00DF5962"/>
    <w:rsid w:val="00DF5C65"/>
    <w:rsid w:val="00DF5CD2"/>
    <w:rsid w:val="00DF5F29"/>
    <w:rsid w:val="00DF6360"/>
    <w:rsid w:val="00DF63B8"/>
    <w:rsid w:val="00DF65D7"/>
    <w:rsid w:val="00DF65DB"/>
    <w:rsid w:val="00DF6BD3"/>
    <w:rsid w:val="00DF6F9B"/>
    <w:rsid w:val="00DF73B3"/>
    <w:rsid w:val="00DF7424"/>
    <w:rsid w:val="00DF76F2"/>
    <w:rsid w:val="00DF79DB"/>
    <w:rsid w:val="00DF7C2D"/>
    <w:rsid w:val="00E003E7"/>
    <w:rsid w:val="00E02BA4"/>
    <w:rsid w:val="00E03362"/>
    <w:rsid w:val="00E0349D"/>
    <w:rsid w:val="00E03560"/>
    <w:rsid w:val="00E0359F"/>
    <w:rsid w:val="00E036DE"/>
    <w:rsid w:val="00E036F9"/>
    <w:rsid w:val="00E03991"/>
    <w:rsid w:val="00E03A29"/>
    <w:rsid w:val="00E03B7D"/>
    <w:rsid w:val="00E04390"/>
    <w:rsid w:val="00E0458F"/>
    <w:rsid w:val="00E04623"/>
    <w:rsid w:val="00E047B3"/>
    <w:rsid w:val="00E0504E"/>
    <w:rsid w:val="00E05247"/>
    <w:rsid w:val="00E05BF5"/>
    <w:rsid w:val="00E060ED"/>
    <w:rsid w:val="00E07746"/>
    <w:rsid w:val="00E0778E"/>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3B16"/>
    <w:rsid w:val="00E141B9"/>
    <w:rsid w:val="00E142A7"/>
    <w:rsid w:val="00E1440E"/>
    <w:rsid w:val="00E1469B"/>
    <w:rsid w:val="00E1504C"/>
    <w:rsid w:val="00E156B1"/>
    <w:rsid w:val="00E15F35"/>
    <w:rsid w:val="00E169E9"/>
    <w:rsid w:val="00E16F1A"/>
    <w:rsid w:val="00E16F7F"/>
    <w:rsid w:val="00E17130"/>
    <w:rsid w:val="00E172F9"/>
    <w:rsid w:val="00E175D7"/>
    <w:rsid w:val="00E1765C"/>
    <w:rsid w:val="00E176D6"/>
    <w:rsid w:val="00E179D4"/>
    <w:rsid w:val="00E17B1E"/>
    <w:rsid w:val="00E17C7B"/>
    <w:rsid w:val="00E17DF4"/>
    <w:rsid w:val="00E200B1"/>
    <w:rsid w:val="00E20116"/>
    <w:rsid w:val="00E20ABD"/>
    <w:rsid w:val="00E211AF"/>
    <w:rsid w:val="00E212F7"/>
    <w:rsid w:val="00E21363"/>
    <w:rsid w:val="00E22866"/>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737"/>
    <w:rsid w:val="00E30EAF"/>
    <w:rsid w:val="00E315DA"/>
    <w:rsid w:val="00E31C84"/>
    <w:rsid w:val="00E31DF4"/>
    <w:rsid w:val="00E31E27"/>
    <w:rsid w:val="00E32C59"/>
    <w:rsid w:val="00E32F81"/>
    <w:rsid w:val="00E333F7"/>
    <w:rsid w:val="00E33513"/>
    <w:rsid w:val="00E33596"/>
    <w:rsid w:val="00E33B11"/>
    <w:rsid w:val="00E341E7"/>
    <w:rsid w:val="00E342B4"/>
    <w:rsid w:val="00E345DA"/>
    <w:rsid w:val="00E34B81"/>
    <w:rsid w:val="00E35569"/>
    <w:rsid w:val="00E35692"/>
    <w:rsid w:val="00E362C4"/>
    <w:rsid w:val="00E366AD"/>
    <w:rsid w:val="00E36A91"/>
    <w:rsid w:val="00E36C9B"/>
    <w:rsid w:val="00E400AC"/>
    <w:rsid w:val="00E407C4"/>
    <w:rsid w:val="00E40BB0"/>
    <w:rsid w:val="00E40DF8"/>
    <w:rsid w:val="00E4116C"/>
    <w:rsid w:val="00E41198"/>
    <w:rsid w:val="00E4120E"/>
    <w:rsid w:val="00E41244"/>
    <w:rsid w:val="00E412FF"/>
    <w:rsid w:val="00E4150C"/>
    <w:rsid w:val="00E42A9E"/>
    <w:rsid w:val="00E43B49"/>
    <w:rsid w:val="00E43E8E"/>
    <w:rsid w:val="00E440C4"/>
    <w:rsid w:val="00E4528C"/>
    <w:rsid w:val="00E457C5"/>
    <w:rsid w:val="00E45894"/>
    <w:rsid w:val="00E45A4B"/>
    <w:rsid w:val="00E45CB9"/>
    <w:rsid w:val="00E463CD"/>
    <w:rsid w:val="00E4654A"/>
    <w:rsid w:val="00E46762"/>
    <w:rsid w:val="00E4686E"/>
    <w:rsid w:val="00E4694B"/>
    <w:rsid w:val="00E46992"/>
    <w:rsid w:val="00E46D78"/>
    <w:rsid w:val="00E473BB"/>
    <w:rsid w:val="00E47C84"/>
    <w:rsid w:val="00E50132"/>
    <w:rsid w:val="00E506E5"/>
    <w:rsid w:val="00E511BB"/>
    <w:rsid w:val="00E512A0"/>
    <w:rsid w:val="00E515D1"/>
    <w:rsid w:val="00E51AE1"/>
    <w:rsid w:val="00E51E0D"/>
    <w:rsid w:val="00E51E77"/>
    <w:rsid w:val="00E524FE"/>
    <w:rsid w:val="00E52790"/>
    <w:rsid w:val="00E534BD"/>
    <w:rsid w:val="00E53D93"/>
    <w:rsid w:val="00E54046"/>
    <w:rsid w:val="00E54501"/>
    <w:rsid w:val="00E5451F"/>
    <w:rsid w:val="00E54C43"/>
    <w:rsid w:val="00E54C50"/>
    <w:rsid w:val="00E55994"/>
    <w:rsid w:val="00E56B8E"/>
    <w:rsid w:val="00E56BD6"/>
    <w:rsid w:val="00E56D62"/>
    <w:rsid w:val="00E57161"/>
    <w:rsid w:val="00E572B7"/>
    <w:rsid w:val="00E5787F"/>
    <w:rsid w:val="00E57990"/>
    <w:rsid w:val="00E602D6"/>
    <w:rsid w:val="00E60A98"/>
    <w:rsid w:val="00E60C12"/>
    <w:rsid w:val="00E61098"/>
    <w:rsid w:val="00E6116D"/>
    <w:rsid w:val="00E62052"/>
    <w:rsid w:val="00E623F1"/>
    <w:rsid w:val="00E6280E"/>
    <w:rsid w:val="00E62E32"/>
    <w:rsid w:val="00E6337E"/>
    <w:rsid w:val="00E6379B"/>
    <w:rsid w:val="00E63884"/>
    <w:rsid w:val="00E63C8D"/>
    <w:rsid w:val="00E643A8"/>
    <w:rsid w:val="00E65833"/>
    <w:rsid w:val="00E666F3"/>
    <w:rsid w:val="00E668A6"/>
    <w:rsid w:val="00E66C0C"/>
    <w:rsid w:val="00E66E97"/>
    <w:rsid w:val="00E67248"/>
    <w:rsid w:val="00E673B8"/>
    <w:rsid w:val="00E67A21"/>
    <w:rsid w:val="00E67D4F"/>
    <w:rsid w:val="00E705CF"/>
    <w:rsid w:val="00E705F1"/>
    <w:rsid w:val="00E707BC"/>
    <w:rsid w:val="00E70884"/>
    <w:rsid w:val="00E70B1E"/>
    <w:rsid w:val="00E70CB2"/>
    <w:rsid w:val="00E7257E"/>
    <w:rsid w:val="00E72F57"/>
    <w:rsid w:val="00E7361D"/>
    <w:rsid w:val="00E7391C"/>
    <w:rsid w:val="00E73A15"/>
    <w:rsid w:val="00E73A1D"/>
    <w:rsid w:val="00E7459C"/>
    <w:rsid w:val="00E74E62"/>
    <w:rsid w:val="00E759E3"/>
    <w:rsid w:val="00E75C14"/>
    <w:rsid w:val="00E75DFB"/>
    <w:rsid w:val="00E75E65"/>
    <w:rsid w:val="00E76014"/>
    <w:rsid w:val="00E77094"/>
    <w:rsid w:val="00E773F1"/>
    <w:rsid w:val="00E77591"/>
    <w:rsid w:val="00E7783E"/>
    <w:rsid w:val="00E779D1"/>
    <w:rsid w:val="00E77A3E"/>
    <w:rsid w:val="00E77A87"/>
    <w:rsid w:val="00E80147"/>
    <w:rsid w:val="00E80FAF"/>
    <w:rsid w:val="00E811A6"/>
    <w:rsid w:val="00E81C57"/>
    <w:rsid w:val="00E81F59"/>
    <w:rsid w:val="00E820E7"/>
    <w:rsid w:val="00E8227F"/>
    <w:rsid w:val="00E823F4"/>
    <w:rsid w:val="00E8240A"/>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677A"/>
    <w:rsid w:val="00E9701C"/>
    <w:rsid w:val="00E971AE"/>
    <w:rsid w:val="00E97D88"/>
    <w:rsid w:val="00EA01E0"/>
    <w:rsid w:val="00EA042F"/>
    <w:rsid w:val="00EA0649"/>
    <w:rsid w:val="00EA0A8D"/>
    <w:rsid w:val="00EA1262"/>
    <w:rsid w:val="00EA24D6"/>
    <w:rsid w:val="00EA2DC1"/>
    <w:rsid w:val="00EA3248"/>
    <w:rsid w:val="00EA46A3"/>
    <w:rsid w:val="00EA5376"/>
    <w:rsid w:val="00EA54B1"/>
    <w:rsid w:val="00EA62B0"/>
    <w:rsid w:val="00EA70ED"/>
    <w:rsid w:val="00EA70F5"/>
    <w:rsid w:val="00EA716F"/>
    <w:rsid w:val="00EA7403"/>
    <w:rsid w:val="00EA7421"/>
    <w:rsid w:val="00EB0007"/>
    <w:rsid w:val="00EB01D7"/>
    <w:rsid w:val="00EB04F3"/>
    <w:rsid w:val="00EB0E35"/>
    <w:rsid w:val="00EB0F1A"/>
    <w:rsid w:val="00EB19F9"/>
    <w:rsid w:val="00EB24CA"/>
    <w:rsid w:val="00EB327F"/>
    <w:rsid w:val="00EB40FF"/>
    <w:rsid w:val="00EB4912"/>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B7FEE"/>
    <w:rsid w:val="00EC0858"/>
    <w:rsid w:val="00EC0A9D"/>
    <w:rsid w:val="00EC126C"/>
    <w:rsid w:val="00EC1513"/>
    <w:rsid w:val="00EC1F0B"/>
    <w:rsid w:val="00EC21DA"/>
    <w:rsid w:val="00EC2A9E"/>
    <w:rsid w:val="00EC346D"/>
    <w:rsid w:val="00EC364F"/>
    <w:rsid w:val="00EC39AD"/>
    <w:rsid w:val="00EC3F72"/>
    <w:rsid w:val="00EC439F"/>
    <w:rsid w:val="00EC43C8"/>
    <w:rsid w:val="00EC4B2E"/>
    <w:rsid w:val="00EC556F"/>
    <w:rsid w:val="00EC5855"/>
    <w:rsid w:val="00EC5B7E"/>
    <w:rsid w:val="00EC6D77"/>
    <w:rsid w:val="00EC6E11"/>
    <w:rsid w:val="00EC7992"/>
    <w:rsid w:val="00EC7B91"/>
    <w:rsid w:val="00ED00F8"/>
    <w:rsid w:val="00ED084D"/>
    <w:rsid w:val="00ED0B48"/>
    <w:rsid w:val="00ED0B94"/>
    <w:rsid w:val="00ED17F2"/>
    <w:rsid w:val="00ED1800"/>
    <w:rsid w:val="00ED1C72"/>
    <w:rsid w:val="00ED223B"/>
    <w:rsid w:val="00ED28F0"/>
    <w:rsid w:val="00ED2A75"/>
    <w:rsid w:val="00ED2BBA"/>
    <w:rsid w:val="00ED3004"/>
    <w:rsid w:val="00ED3563"/>
    <w:rsid w:val="00ED5306"/>
    <w:rsid w:val="00ED5530"/>
    <w:rsid w:val="00ED56DB"/>
    <w:rsid w:val="00ED5AC1"/>
    <w:rsid w:val="00ED5FEE"/>
    <w:rsid w:val="00ED6687"/>
    <w:rsid w:val="00ED6EC4"/>
    <w:rsid w:val="00ED791A"/>
    <w:rsid w:val="00ED7BFA"/>
    <w:rsid w:val="00ED7F55"/>
    <w:rsid w:val="00EE002A"/>
    <w:rsid w:val="00EE01FF"/>
    <w:rsid w:val="00EE067B"/>
    <w:rsid w:val="00EE0C45"/>
    <w:rsid w:val="00EE0F12"/>
    <w:rsid w:val="00EE110B"/>
    <w:rsid w:val="00EE18B9"/>
    <w:rsid w:val="00EE1D7C"/>
    <w:rsid w:val="00EE1EAB"/>
    <w:rsid w:val="00EE20BC"/>
    <w:rsid w:val="00EE2520"/>
    <w:rsid w:val="00EE257B"/>
    <w:rsid w:val="00EE2D07"/>
    <w:rsid w:val="00EE3188"/>
    <w:rsid w:val="00EE3B1E"/>
    <w:rsid w:val="00EE3EAA"/>
    <w:rsid w:val="00EE40EF"/>
    <w:rsid w:val="00EE45D3"/>
    <w:rsid w:val="00EE499F"/>
    <w:rsid w:val="00EE52C9"/>
    <w:rsid w:val="00EE565A"/>
    <w:rsid w:val="00EE5678"/>
    <w:rsid w:val="00EE5A16"/>
    <w:rsid w:val="00EE6732"/>
    <w:rsid w:val="00EE686C"/>
    <w:rsid w:val="00EE6977"/>
    <w:rsid w:val="00EE69B6"/>
    <w:rsid w:val="00EE6A12"/>
    <w:rsid w:val="00EE7480"/>
    <w:rsid w:val="00EE77E2"/>
    <w:rsid w:val="00EE7B27"/>
    <w:rsid w:val="00EE7FAD"/>
    <w:rsid w:val="00EF0244"/>
    <w:rsid w:val="00EF062F"/>
    <w:rsid w:val="00EF0CDA"/>
    <w:rsid w:val="00EF1DDC"/>
    <w:rsid w:val="00EF1E47"/>
    <w:rsid w:val="00EF2277"/>
    <w:rsid w:val="00EF2432"/>
    <w:rsid w:val="00EF267A"/>
    <w:rsid w:val="00EF2CE7"/>
    <w:rsid w:val="00EF3A63"/>
    <w:rsid w:val="00EF3ADE"/>
    <w:rsid w:val="00EF3C45"/>
    <w:rsid w:val="00EF4998"/>
    <w:rsid w:val="00EF4C95"/>
    <w:rsid w:val="00EF5097"/>
    <w:rsid w:val="00EF5CE5"/>
    <w:rsid w:val="00EF6198"/>
    <w:rsid w:val="00EF70ED"/>
    <w:rsid w:val="00EF7771"/>
    <w:rsid w:val="00F00072"/>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49B5"/>
    <w:rsid w:val="00F06293"/>
    <w:rsid w:val="00F06D59"/>
    <w:rsid w:val="00F07469"/>
    <w:rsid w:val="00F074EA"/>
    <w:rsid w:val="00F101E1"/>
    <w:rsid w:val="00F10649"/>
    <w:rsid w:val="00F10AA3"/>
    <w:rsid w:val="00F11F8B"/>
    <w:rsid w:val="00F1216E"/>
    <w:rsid w:val="00F128BD"/>
    <w:rsid w:val="00F128ED"/>
    <w:rsid w:val="00F12D12"/>
    <w:rsid w:val="00F13258"/>
    <w:rsid w:val="00F13D04"/>
    <w:rsid w:val="00F13F49"/>
    <w:rsid w:val="00F15598"/>
    <w:rsid w:val="00F15EC8"/>
    <w:rsid w:val="00F167DE"/>
    <w:rsid w:val="00F1684E"/>
    <w:rsid w:val="00F16F14"/>
    <w:rsid w:val="00F170A9"/>
    <w:rsid w:val="00F17241"/>
    <w:rsid w:val="00F17E9F"/>
    <w:rsid w:val="00F20765"/>
    <w:rsid w:val="00F20CA8"/>
    <w:rsid w:val="00F211D0"/>
    <w:rsid w:val="00F221A7"/>
    <w:rsid w:val="00F22878"/>
    <w:rsid w:val="00F22FEA"/>
    <w:rsid w:val="00F231FF"/>
    <w:rsid w:val="00F2333A"/>
    <w:rsid w:val="00F23579"/>
    <w:rsid w:val="00F24687"/>
    <w:rsid w:val="00F24ABB"/>
    <w:rsid w:val="00F2533A"/>
    <w:rsid w:val="00F25B35"/>
    <w:rsid w:val="00F25DC7"/>
    <w:rsid w:val="00F265DF"/>
    <w:rsid w:val="00F2697C"/>
    <w:rsid w:val="00F2727A"/>
    <w:rsid w:val="00F273B8"/>
    <w:rsid w:val="00F2774B"/>
    <w:rsid w:val="00F2776E"/>
    <w:rsid w:val="00F27A48"/>
    <w:rsid w:val="00F304D2"/>
    <w:rsid w:val="00F3054C"/>
    <w:rsid w:val="00F30CC9"/>
    <w:rsid w:val="00F31337"/>
    <w:rsid w:val="00F31484"/>
    <w:rsid w:val="00F315B1"/>
    <w:rsid w:val="00F32204"/>
    <w:rsid w:val="00F329F4"/>
    <w:rsid w:val="00F332AB"/>
    <w:rsid w:val="00F3341A"/>
    <w:rsid w:val="00F33739"/>
    <w:rsid w:val="00F33C44"/>
    <w:rsid w:val="00F33F18"/>
    <w:rsid w:val="00F3413B"/>
    <w:rsid w:val="00F3429F"/>
    <w:rsid w:val="00F34324"/>
    <w:rsid w:val="00F3463D"/>
    <w:rsid w:val="00F3480D"/>
    <w:rsid w:val="00F350B1"/>
    <w:rsid w:val="00F36777"/>
    <w:rsid w:val="00F37D41"/>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47D8D"/>
    <w:rsid w:val="00F504EC"/>
    <w:rsid w:val="00F50D94"/>
    <w:rsid w:val="00F5209F"/>
    <w:rsid w:val="00F52483"/>
    <w:rsid w:val="00F52F15"/>
    <w:rsid w:val="00F53291"/>
    <w:rsid w:val="00F53B59"/>
    <w:rsid w:val="00F5407D"/>
    <w:rsid w:val="00F544F0"/>
    <w:rsid w:val="00F54FAB"/>
    <w:rsid w:val="00F5571D"/>
    <w:rsid w:val="00F55B81"/>
    <w:rsid w:val="00F55E39"/>
    <w:rsid w:val="00F56169"/>
    <w:rsid w:val="00F56459"/>
    <w:rsid w:val="00F569E8"/>
    <w:rsid w:val="00F56F2F"/>
    <w:rsid w:val="00F570A3"/>
    <w:rsid w:val="00F5741C"/>
    <w:rsid w:val="00F60593"/>
    <w:rsid w:val="00F60F49"/>
    <w:rsid w:val="00F610E9"/>
    <w:rsid w:val="00F61955"/>
    <w:rsid w:val="00F62381"/>
    <w:rsid w:val="00F62B12"/>
    <w:rsid w:val="00F63806"/>
    <w:rsid w:val="00F6382C"/>
    <w:rsid w:val="00F64092"/>
    <w:rsid w:val="00F6492A"/>
    <w:rsid w:val="00F64C8E"/>
    <w:rsid w:val="00F655A1"/>
    <w:rsid w:val="00F655E1"/>
    <w:rsid w:val="00F65C93"/>
    <w:rsid w:val="00F66277"/>
    <w:rsid w:val="00F6679E"/>
    <w:rsid w:val="00F668BA"/>
    <w:rsid w:val="00F669D3"/>
    <w:rsid w:val="00F67531"/>
    <w:rsid w:val="00F675AC"/>
    <w:rsid w:val="00F675D8"/>
    <w:rsid w:val="00F676AD"/>
    <w:rsid w:val="00F676C9"/>
    <w:rsid w:val="00F67A90"/>
    <w:rsid w:val="00F67AB7"/>
    <w:rsid w:val="00F70799"/>
    <w:rsid w:val="00F709CA"/>
    <w:rsid w:val="00F70D9A"/>
    <w:rsid w:val="00F70FE2"/>
    <w:rsid w:val="00F710B2"/>
    <w:rsid w:val="00F71621"/>
    <w:rsid w:val="00F719CC"/>
    <w:rsid w:val="00F71EAB"/>
    <w:rsid w:val="00F72060"/>
    <w:rsid w:val="00F721E4"/>
    <w:rsid w:val="00F72270"/>
    <w:rsid w:val="00F728D3"/>
    <w:rsid w:val="00F7299B"/>
    <w:rsid w:val="00F72AC8"/>
    <w:rsid w:val="00F72B2E"/>
    <w:rsid w:val="00F732ED"/>
    <w:rsid w:val="00F73480"/>
    <w:rsid w:val="00F74334"/>
    <w:rsid w:val="00F74A1B"/>
    <w:rsid w:val="00F753F3"/>
    <w:rsid w:val="00F75BA9"/>
    <w:rsid w:val="00F75CEC"/>
    <w:rsid w:val="00F75D9E"/>
    <w:rsid w:val="00F763EE"/>
    <w:rsid w:val="00F767B8"/>
    <w:rsid w:val="00F769B7"/>
    <w:rsid w:val="00F77011"/>
    <w:rsid w:val="00F7784A"/>
    <w:rsid w:val="00F77958"/>
    <w:rsid w:val="00F8060E"/>
    <w:rsid w:val="00F80625"/>
    <w:rsid w:val="00F806F1"/>
    <w:rsid w:val="00F8098C"/>
    <w:rsid w:val="00F80CFA"/>
    <w:rsid w:val="00F80D60"/>
    <w:rsid w:val="00F80F5B"/>
    <w:rsid w:val="00F80FEC"/>
    <w:rsid w:val="00F8137E"/>
    <w:rsid w:val="00F81421"/>
    <w:rsid w:val="00F8158E"/>
    <w:rsid w:val="00F81651"/>
    <w:rsid w:val="00F818E2"/>
    <w:rsid w:val="00F822C2"/>
    <w:rsid w:val="00F828D4"/>
    <w:rsid w:val="00F82B2C"/>
    <w:rsid w:val="00F82E82"/>
    <w:rsid w:val="00F83376"/>
    <w:rsid w:val="00F83419"/>
    <w:rsid w:val="00F8355C"/>
    <w:rsid w:val="00F83671"/>
    <w:rsid w:val="00F83C7A"/>
    <w:rsid w:val="00F83D75"/>
    <w:rsid w:val="00F845FF"/>
    <w:rsid w:val="00F84670"/>
    <w:rsid w:val="00F847D2"/>
    <w:rsid w:val="00F84835"/>
    <w:rsid w:val="00F848B7"/>
    <w:rsid w:val="00F84AF4"/>
    <w:rsid w:val="00F84D4E"/>
    <w:rsid w:val="00F84FF6"/>
    <w:rsid w:val="00F85211"/>
    <w:rsid w:val="00F85D9E"/>
    <w:rsid w:val="00F860BA"/>
    <w:rsid w:val="00F86488"/>
    <w:rsid w:val="00F8685C"/>
    <w:rsid w:val="00F86966"/>
    <w:rsid w:val="00F87068"/>
    <w:rsid w:val="00F902F2"/>
    <w:rsid w:val="00F90B6D"/>
    <w:rsid w:val="00F90D2B"/>
    <w:rsid w:val="00F91597"/>
    <w:rsid w:val="00F916BA"/>
    <w:rsid w:val="00F920CA"/>
    <w:rsid w:val="00F9246E"/>
    <w:rsid w:val="00F92BB5"/>
    <w:rsid w:val="00F933A2"/>
    <w:rsid w:val="00F93ED3"/>
    <w:rsid w:val="00F93F98"/>
    <w:rsid w:val="00F951F9"/>
    <w:rsid w:val="00F95A4E"/>
    <w:rsid w:val="00F96029"/>
    <w:rsid w:val="00F961EB"/>
    <w:rsid w:val="00F96C3D"/>
    <w:rsid w:val="00F97487"/>
    <w:rsid w:val="00F97705"/>
    <w:rsid w:val="00FA010B"/>
    <w:rsid w:val="00FA0D23"/>
    <w:rsid w:val="00FA0EB1"/>
    <w:rsid w:val="00FA10DF"/>
    <w:rsid w:val="00FA12DD"/>
    <w:rsid w:val="00FA17B2"/>
    <w:rsid w:val="00FA1984"/>
    <w:rsid w:val="00FA1C43"/>
    <w:rsid w:val="00FA233E"/>
    <w:rsid w:val="00FA2C51"/>
    <w:rsid w:val="00FA2E74"/>
    <w:rsid w:val="00FA3392"/>
    <w:rsid w:val="00FA342F"/>
    <w:rsid w:val="00FA36BE"/>
    <w:rsid w:val="00FA52E2"/>
    <w:rsid w:val="00FA55D5"/>
    <w:rsid w:val="00FA567F"/>
    <w:rsid w:val="00FA57DD"/>
    <w:rsid w:val="00FA619B"/>
    <w:rsid w:val="00FA6DEC"/>
    <w:rsid w:val="00FA7727"/>
    <w:rsid w:val="00FB0010"/>
    <w:rsid w:val="00FB05CA"/>
    <w:rsid w:val="00FB07D0"/>
    <w:rsid w:val="00FB0989"/>
    <w:rsid w:val="00FB0D54"/>
    <w:rsid w:val="00FB15F3"/>
    <w:rsid w:val="00FB17BD"/>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2E5"/>
    <w:rsid w:val="00FC0A01"/>
    <w:rsid w:val="00FC0D1D"/>
    <w:rsid w:val="00FC21F3"/>
    <w:rsid w:val="00FC2503"/>
    <w:rsid w:val="00FC28C2"/>
    <w:rsid w:val="00FC2A34"/>
    <w:rsid w:val="00FC2B02"/>
    <w:rsid w:val="00FC2E41"/>
    <w:rsid w:val="00FC36D8"/>
    <w:rsid w:val="00FC3D4B"/>
    <w:rsid w:val="00FC5568"/>
    <w:rsid w:val="00FC5700"/>
    <w:rsid w:val="00FC5DB9"/>
    <w:rsid w:val="00FC6046"/>
    <w:rsid w:val="00FC6E94"/>
    <w:rsid w:val="00FC73FB"/>
    <w:rsid w:val="00FC7B7E"/>
    <w:rsid w:val="00FC7F7B"/>
    <w:rsid w:val="00FD0308"/>
    <w:rsid w:val="00FD0ACF"/>
    <w:rsid w:val="00FD123D"/>
    <w:rsid w:val="00FD1D13"/>
    <w:rsid w:val="00FD22B4"/>
    <w:rsid w:val="00FD273F"/>
    <w:rsid w:val="00FD27B9"/>
    <w:rsid w:val="00FD294F"/>
    <w:rsid w:val="00FD2C04"/>
    <w:rsid w:val="00FD380D"/>
    <w:rsid w:val="00FD3B68"/>
    <w:rsid w:val="00FD3FF8"/>
    <w:rsid w:val="00FD4776"/>
    <w:rsid w:val="00FD4C84"/>
    <w:rsid w:val="00FD4DE6"/>
    <w:rsid w:val="00FD5582"/>
    <w:rsid w:val="00FD5B0F"/>
    <w:rsid w:val="00FD5E80"/>
    <w:rsid w:val="00FD6A9A"/>
    <w:rsid w:val="00FD79AB"/>
    <w:rsid w:val="00FD7B84"/>
    <w:rsid w:val="00FE052F"/>
    <w:rsid w:val="00FE1847"/>
    <w:rsid w:val="00FE1AD7"/>
    <w:rsid w:val="00FE1D6F"/>
    <w:rsid w:val="00FE1F8E"/>
    <w:rsid w:val="00FE268B"/>
    <w:rsid w:val="00FE317D"/>
    <w:rsid w:val="00FE33CB"/>
    <w:rsid w:val="00FE34A3"/>
    <w:rsid w:val="00FE34D6"/>
    <w:rsid w:val="00FE362F"/>
    <w:rsid w:val="00FE3A84"/>
    <w:rsid w:val="00FE3EB5"/>
    <w:rsid w:val="00FE453D"/>
    <w:rsid w:val="00FE46F9"/>
    <w:rsid w:val="00FE4A43"/>
    <w:rsid w:val="00FE4B86"/>
    <w:rsid w:val="00FE4C69"/>
    <w:rsid w:val="00FE5088"/>
    <w:rsid w:val="00FE561F"/>
    <w:rsid w:val="00FE606D"/>
    <w:rsid w:val="00FE63CE"/>
    <w:rsid w:val="00FE6EE7"/>
    <w:rsid w:val="00FE6F69"/>
    <w:rsid w:val="00FE7B88"/>
    <w:rsid w:val="00FE7BD3"/>
    <w:rsid w:val="00FF02AD"/>
    <w:rsid w:val="00FF033D"/>
    <w:rsid w:val="00FF0459"/>
    <w:rsid w:val="00FF2250"/>
    <w:rsid w:val="00FF2326"/>
    <w:rsid w:val="00FF2A4C"/>
    <w:rsid w:val="00FF2C78"/>
    <w:rsid w:val="00FF3061"/>
    <w:rsid w:val="00FF32BD"/>
    <w:rsid w:val="00FF32E4"/>
    <w:rsid w:val="00FF41C0"/>
    <w:rsid w:val="00FF4C0D"/>
    <w:rsid w:val="00FF4DA8"/>
    <w:rsid w:val="00FF4DFB"/>
    <w:rsid w:val="00FF4F47"/>
    <w:rsid w:val="00FF523E"/>
    <w:rsid w:val="00FF55B4"/>
    <w:rsid w:val="00FF5998"/>
    <w:rsid w:val="00FF5ACD"/>
    <w:rsid w:val="00FF6953"/>
    <w:rsid w:val="00FF74AE"/>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aliases w:val="Уровня нет"/>
    <w:qFormat/>
    <w:rsid w:val="00822CD2"/>
    <w:rPr>
      <w:rFonts w:ascii="Tahoma" w:hAnsi="Tahoma"/>
      <w:szCs w:val="24"/>
    </w:rPr>
  </w:style>
  <w:style w:type="paragraph" w:styleId="10">
    <w:name w:val="heading 1"/>
    <w:aliases w:val="Уровень 1"/>
    <w:basedOn w:val="a2"/>
    <w:next w:val="a2"/>
    <w:link w:val="13"/>
    <w:qFormat/>
    <w:locked/>
    <w:rsid w:val="002116C9"/>
    <w:pPr>
      <w:keepNext/>
      <w:numPr>
        <w:numId w:val="7"/>
      </w:numPr>
      <w:outlineLvl w:val="0"/>
    </w:pPr>
    <w:rPr>
      <w:rFonts w:cs="Arial"/>
      <w:b/>
      <w:szCs w:val="20"/>
    </w:rPr>
  </w:style>
  <w:style w:type="paragraph" w:styleId="21">
    <w:name w:val="heading 2"/>
    <w:basedOn w:val="a2"/>
    <w:next w:val="a2"/>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Body Text 3"/>
    <w:basedOn w:val="a2"/>
    <w:pPr>
      <w:spacing w:before="120"/>
      <w:jc w:val="both"/>
    </w:pPr>
    <w:rPr>
      <w:rFonts w:cs="Arial"/>
      <w:szCs w:val="20"/>
    </w:rPr>
  </w:style>
  <w:style w:type="paragraph" w:styleId="a6">
    <w:name w:val="Body Text"/>
    <w:basedOn w:val="a2"/>
    <w:link w:val="a7"/>
    <w:pPr>
      <w:spacing w:after="120"/>
    </w:pPr>
    <w:rPr>
      <w:szCs w:val="20"/>
    </w:rPr>
  </w:style>
  <w:style w:type="table" w:styleId="a8">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rsid w:val="00F97487"/>
    <w:rPr>
      <w:rFonts w:cs="Times New Roman"/>
      <w:b/>
      <w:bCs/>
    </w:rPr>
  </w:style>
  <w:style w:type="paragraph" w:customStyle="1" w:styleId="txt">
    <w:name w:val="txt"/>
    <w:basedOn w:val="a2"/>
    <w:rsid w:val="00E60C12"/>
    <w:pPr>
      <w:spacing w:before="100" w:beforeAutospacing="1" w:after="100" w:afterAutospacing="1"/>
    </w:pPr>
    <w:rPr>
      <w:rFonts w:cs="Arial"/>
      <w:color w:val="000000"/>
      <w:sz w:val="18"/>
      <w:szCs w:val="18"/>
    </w:rPr>
  </w:style>
  <w:style w:type="character" w:styleId="aa">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2"/>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2"/>
    <w:rsid w:val="002A17EE"/>
    <w:pPr>
      <w:numPr>
        <w:ilvl w:val="5"/>
        <w:numId w:val="2"/>
      </w:numPr>
      <w:autoSpaceDE w:val="0"/>
      <w:autoSpaceDN w:val="0"/>
      <w:spacing w:before="60"/>
      <w:jc w:val="both"/>
    </w:pPr>
    <w:rPr>
      <w:rFonts w:cs="Arial"/>
      <w:szCs w:val="20"/>
    </w:rPr>
  </w:style>
  <w:style w:type="paragraph" w:styleId="ab">
    <w:name w:val="Balloon Text"/>
    <w:basedOn w:val="a2"/>
    <w:semiHidden/>
    <w:rsid w:val="00C615BA"/>
    <w:rPr>
      <w:rFonts w:cs="Tahoma"/>
      <w:sz w:val="16"/>
      <w:szCs w:val="16"/>
    </w:rPr>
  </w:style>
  <w:style w:type="paragraph" w:styleId="ac">
    <w:name w:val="footer"/>
    <w:basedOn w:val="a2"/>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2"/>
    <w:rsid w:val="00912065"/>
    <w:pPr>
      <w:tabs>
        <w:tab w:val="center" w:pos="4677"/>
        <w:tab w:val="right" w:pos="9355"/>
      </w:tabs>
    </w:pPr>
  </w:style>
  <w:style w:type="paragraph" w:customStyle="1" w:styleId="14">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2"/>
    <w:rsid w:val="004D2316"/>
    <w:pPr>
      <w:tabs>
        <w:tab w:val="num" w:pos="360"/>
      </w:tabs>
      <w:spacing w:after="160" w:line="240" w:lineRule="exact"/>
    </w:pPr>
    <w:rPr>
      <w:noProof/>
    </w:rPr>
  </w:style>
  <w:style w:type="paragraph" w:customStyle="1" w:styleId="Iauiue">
    <w:name w:val="Iau?iue"/>
    <w:rsid w:val="009E51EC"/>
  </w:style>
  <w:style w:type="character" w:styleId="af">
    <w:name w:val="annotation reference"/>
    <w:rsid w:val="000503C8"/>
    <w:rPr>
      <w:rFonts w:cs="Times New Roman"/>
      <w:sz w:val="16"/>
      <w:szCs w:val="16"/>
    </w:rPr>
  </w:style>
  <w:style w:type="paragraph" w:styleId="af0">
    <w:name w:val="annotation text"/>
    <w:basedOn w:val="a2"/>
    <w:link w:val="af1"/>
    <w:rsid w:val="000503C8"/>
    <w:rPr>
      <w:szCs w:val="20"/>
      <w:lang w:eastAsia="x-none"/>
    </w:rPr>
  </w:style>
  <w:style w:type="character" w:customStyle="1" w:styleId="af1">
    <w:name w:val="Текст примечания Знак"/>
    <w:link w:val="af0"/>
    <w:locked/>
    <w:rsid w:val="000503C8"/>
    <w:rPr>
      <w:rFonts w:cs="Times New Roman"/>
    </w:rPr>
  </w:style>
  <w:style w:type="paragraph" w:styleId="af2">
    <w:name w:val="annotation subject"/>
    <w:basedOn w:val="af0"/>
    <w:next w:val="af0"/>
    <w:link w:val="af3"/>
    <w:rsid w:val="000503C8"/>
    <w:rPr>
      <w:b/>
      <w:bCs/>
    </w:rPr>
  </w:style>
  <w:style w:type="character" w:customStyle="1" w:styleId="af3">
    <w:name w:val="Тема примечания Знак"/>
    <w:link w:val="af2"/>
    <w:locked/>
    <w:rsid w:val="000503C8"/>
    <w:rPr>
      <w:rFonts w:cs="Times New Roman"/>
      <w:b/>
      <w:bCs/>
    </w:rPr>
  </w:style>
  <w:style w:type="numbering" w:customStyle="1" w:styleId="1">
    <w:name w:val="Стиль1"/>
    <w:rsid w:val="00566AAA"/>
    <w:pPr>
      <w:numPr>
        <w:numId w:val="3"/>
      </w:numPr>
    </w:pPr>
  </w:style>
  <w:style w:type="character" w:styleId="af4">
    <w:name w:val="FollowedHyperlink"/>
    <w:rsid w:val="00456A61"/>
    <w:rPr>
      <w:color w:val="800080"/>
      <w:u w:val="single"/>
    </w:rPr>
  </w:style>
  <w:style w:type="paragraph" w:styleId="15">
    <w:name w:val="toc 1"/>
    <w:basedOn w:val="a2"/>
    <w:next w:val="a2"/>
    <w:autoRedefine/>
    <w:uiPriority w:val="39"/>
    <w:rsid w:val="00544C3B"/>
    <w:pPr>
      <w:tabs>
        <w:tab w:val="left" w:pos="600"/>
        <w:tab w:val="right" w:leader="dot" w:pos="9344"/>
      </w:tabs>
      <w:spacing w:before="120" w:after="120"/>
      <w:ind w:firstLine="142"/>
    </w:pPr>
    <w:rPr>
      <w:b/>
      <w:bCs/>
      <w:caps/>
      <w:szCs w:val="20"/>
    </w:rPr>
  </w:style>
  <w:style w:type="paragraph" w:styleId="23">
    <w:name w:val="toc 2"/>
    <w:basedOn w:val="a2"/>
    <w:next w:val="a2"/>
    <w:autoRedefine/>
    <w:uiPriority w:val="39"/>
    <w:rsid w:val="00B0449E"/>
    <w:pPr>
      <w:tabs>
        <w:tab w:val="left" w:pos="800"/>
        <w:tab w:val="right" w:leader="dot" w:pos="9344"/>
      </w:tabs>
      <w:ind w:left="200"/>
    </w:pPr>
    <w:rPr>
      <w:szCs w:val="20"/>
    </w:rPr>
  </w:style>
  <w:style w:type="paragraph" w:styleId="32">
    <w:name w:val="toc 3"/>
    <w:basedOn w:val="a2"/>
    <w:next w:val="a2"/>
    <w:autoRedefine/>
    <w:uiPriority w:val="39"/>
    <w:rsid w:val="00DF65DB"/>
    <w:pPr>
      <w:ind w:left="400"/>
    </w:pPr>
    <w:rPr>
      <w:i/>
      <w:iCs/>
      <w:szCs w:val="20"/>
    </w:rPr>
  </w:style>
  <w:style w:type="paragraph" w:styleId="40">
    <w:name w:val="toc 4"/>
    <w:basedOn w:val="a2"/>
    <w:next w:val="a2"/>
    <w:autoRedefine/>
    <w:uiPriority w:val="39"/>
    <w:rsid w:val="005414D3"/>
    <w:pPr>
      <w:ind w:left="600"/>
    </w:pPr>
    <w:rPr>
      <w:rFonts w:asciiTheme="minorHAnsi" w:hAnsiTheme="minorHAnsi"/>
      <w:sz w:val="18"/>
      <w:szCs w:val="18"/>
    </w:rPr>
  </w:style>
  <w:style w:type="paragraph" w:styleId="50">
    <w:name w:val="toc 5"/>
    <w:basedOn w:val="a2"/>
    <w:next w:val="a2"/>
    <w:autoRedefine/>
    <w:uiPriority w:val="39"/>
    <w:rsid w:val="005414D3"/>
    <w:pPr>
      <w:ind w:left="800"/>
    </w:pPr>
    <w:rPr>
      <w:rFonts w:asciiTheme="minorHAnsi" w:hAnsiTheme="minorHAnsi"/>
      <w:sz w:val="18"/>
      <w:szCs w:val="18"/>
    </w:rPr>
  </w:style>
  <w:style w:type="paragraph" w:styleId="60">
    <w:name w:val="toc 6"/>
    <w:basedOn w:val="a2"/>
    <w:next w:val="a2"/>
    <w:autoRedefine/>
    <w:uiPriority w:val="39"/>
    <w:rsid w:val="005414D3"/>
    <w:pPr>
      <w:ind w:left="1000"/>
    </w:pPr>
    <w:rPr>
      <w:rFonts w:asciiTheme="minorHAnsi" w:hAnsiTheme="minorHAnsi"/>
      <w:sz w:val="18"/>
      <w:szCs w:val="18"/>
    </w:rPr>
  </w:style>
  <w:style w:type="paragraph" w:styleId="7">
    <w:name w:val="toc 7"/>
    <w:basedOn w:val="a2"/>
    <w:next w:val="a2"/>
    <w:autoRedefine/>
    <w:uiPriority w:val="39"/>
    <w:rsid w:val="005414D3"/>
    <w:pPr>
      <w:ind w:left="1200"/>
    </w:pPr>
    <w:rPr>
      <w:rFonts w:asciiTheme="minorHAnsi" w:hAnsiTheme="minorHAnsi"/>
      <w:sz w:val="18"/>
      <w:szCs w:val="18"/>
    </w:rPr>
  </w:style>
  <w:style w:type="paragraph" w:styleId="8">
    <w:name w:val="toc 8"/>
    <w:basedOn w:val="a2"/>
    <w:next w:val="a2"/>
    <w:autoRedefine/>
    <w:uiPriority w:val="39"/>
    <w:rsid w:val="005414D3"/>
    <w:pPr>
      <w:ind w:left="1400"/>
    </w:pPr>
    <w:rPr>
      <w:rFonts w:asciiTheme="minorHAnsi" w:hAnsiTheme="minorHAnsi"/>
      <w:sz w:val="18"/>
      <w:szCs w:val="18"/>
    </w:rPr>
  </w:style>
  <w:style w:type="paragraph" w:styleId="9">
    <w:name w:val="toc 9"/>
    <w:basedOn w:val="a2"/>
    <w:next w:val="a2"/>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5">
    <w:name w:val="Revision"/>
    <w:hidden/>
    <w:uiPriority w:val="99"/>
    <w:semiHidden/>
    <w:rsid w:val="00C441E0"/>
    <w:rPr>
      <w:sz w:val="24"/>
      <w:szCs w:val="24"/>
    </w:rPr>
  </w:style>
  <w:style w:type="paragraph" w:styleId="af6">
    <w:name w:val="List Paragraph"/>
    <w:basedOn w:val="a2"/>
    <w:uiPriority w:val="34"/>
    <w:qFormat/>
    <w:rsid w:val="008111D7"/>
    <w:pPr>
      <w:ind w:left="720"/>
      <w:contextualSpacing/>
    </w:pPr>
  </w:style>
  <w:style w:type="character" w:customStyle="1" w:styleId="a7">
    <w:name w:val="Основной текст Знак"/>
    <w:basedOn w:val="a3"/>
    <w:link w:val="a6"/>
    <w:rsid w:val="00096A43"/>
    <w:rPr>
      <w:sz w:val="24"/>
    </w:rPr>
  </w:style>
  <w:style w:type="character" w:customStyle="1" w:styleId="13">
    <w:name w:val="Заголовок 1 Знак"/>
    <w:aliases w:val="Уровень 1 Знак"/>
    <w:basedOn w:val="a3"/>
    <w:link w:val="10"/>
    <w:rsid w:val="002116C9"/>
    <w:rPr>
      <w:rFonts w:ascii="Tahoma" w:hAnsi="Tahoma" w:cs="Arial"/>
      <w:b/>
    </w:rPr>
  </w:style>
  <w:style w:type="paragraph" w:styleId="af7">
    <w:name w:val="TOC Heading"/>
    <w:basedOn w:val="a2"/>
    <w:next w:val="a2"/>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2"/>
    <w:link w:val="af8"/>
    <w:qFormat/>
    <w:locked/>
    <w:rsid w:val="002116C9"/>
    <w:pPr>
      <w:keepNext/>
      <w:numPr>
        <w:ilvl w:val="1"/>
        <w:numId w:val="7"/>
      </w:numPr>
      <w:tabs>
        <w:tab w:val="clear" w:pos="800"/>
        <w:tab w:val="left" w:pos="1026"/>
      </w:tabs>
      <w:ind w:left="567"/>
      <w:outlineLvl w:val="1"/>
    </w:pPr>
    <w:rPr>
      <w:rFonts w:cs="Arial"/>
      <w:b/>
    </w:rPr>
  </w:style>
  <w:style w:type="character" w:customStyle="1" w:styleId="af8">
    <w:name w:val="Заголовок Знак"/>
    <w:aliases w:val="Уровень 2 Знак"/>
    <w:basedOn w:val="a3"/>
    <w:link w:val="a"/>
    <w:rsid w:val="002116C9"/>
    <w:rPr>
      <w:rFonts w:ascii="Tahoma" w:hAnsi="Tahoma" w:cs="Arial"/>
      <w:b/>
    </w:rPr>
  </w:style>
  <w:style w:type="character" w:styleId="af9">
    <w:name w:val="Emphasis"/>
    <w:aliases w:val="Глава 3"/>
    <w:qFormat/>
    <w:locked/>
    <w:rsid w:val="00D54592"/>
    <w:rPr>
      <w:rFonts w:ascii="Arial" w:hAnsi="Arial" w:cs="Arial"/>
      <w:sz w:val="20"/>
      <w:szCs w:val="20"/>
    </w:rPr>
  </w:style>
  <w:style w:type="paragraph" w:customStyle="1" w:styleId="30">
    <w:name w:val="Уровень 3"/>
    <w:basedOn w:val="a2"/>
    <w:link w:val="33"/>
    <w:qFormat/>
    <w:rsid w:val="00047157"/>
    <w:pPr>
      <w:numPr>
        <w:ilvl w:val="2"/>
        <w:numId w:val="7"/>
      </w:numPr>
      <w:jc w:val="both"/>
    </w:pPr>
  </w:style>
  <w:style w:type="paragraph" w:customStyle="1" w:styleId="4">
    <w:name w:val="Уровень 4"/>
    <w:basedOn w:val="a2"/>
    <w:link w:val="41"/>
    <w:qFormat/>
    <w:rsid w:val="00F32204"/>
    <w:pPr>
      <w:numPr>
        <w:ilvl w:val="3"/>
        <w:numId w:val="7"/>
      </w:numPr>
      <w:tabs>
        <w:tab w:val="left" w:pos="1701"/>
      </w:tabs>
      <w:jc w:val="both"/>
    </w:pPr>
  </w:style>
  <w:style w:type="character" w:customStyle="1" w:styleId="33">
    <w:name w:val="Уровень 3 Знак"/>
    <w:basedOn w:val="a3"/>
    <w:link w:val="30"/>
    <w:rsid w:val="00047157"/>
    <w:rPr>
      <w:rFonts w:ascii="Tahoma" w:hAnsi="Tahoma"/>
      <w:szCs w:val="24"/>
    </w:rPr>
  </w:style>
  <w:style w:type="paragraph" w:customStyle="1" w:styleId="11">
    <w:name w:val="Уровень Выделение 1"/>
    <w:basedOn w:val="a2"/>
    <w:link w:val="16"/>
    <w:qFormat/>
    <w:rsid w:val="00F32204"/>
    <w:pPr>
      <w:numPr>
        <w:ilvl w:val="4"/>
        <w:numId w:val="7"/>
      </w:numPr>
      <w:jc w:val="both"/>
    </w:pPr>
    <w:rPr>
      <w:rFonts w:cs="Arial"/>
      <w:szCs w:val="20"/>
    </w:rPr>
  </w:style>
  <w:style w:type="character" w:customStyle="1" w:styleId="41">
    <w:name w:val="Уровень 4 Знак"/>
    <w:basedOn w:val="a3"/>
    <w:link w:val="4"/>
    <w:rsid w:val="00B240AF"/>
    <w:rPr>
      <w:rFonts w:ascii="Tahoma" w:hAnsi="Tahoma"/>
      <w:szCs w:val="24"/>
    </w:rPr>
  </w:style>
  <w:style w:type="character" w:customStyle="1" w:styleId="16">
    <w:name w:val="Уровень Выделение 1 Знак"/>
    <w:basedOn w:val="a3"/>
    <w:link w:val="11"/>
    <w:rsid w:val="00B240AF"/>
    <w:rPr>
      <w:rFonts w:ascii="Tahoma" w:hAnsi="Tahoma" w:cs="Arial"/>
    </w:rPr>
  </w:style>
  <w:style w:type="character" w:styleId="afa">
    <w:name w:val="Placeholder Text"/>
    <w:basedOn w:val="a3"/>
    <w:uiPriority w:val="99"/>
    <w:semiHidden/>
    <w:rsid w:val="00853A40"/>
    <w:rPr>
      <w:color w:val="808080"/>
    </w:rPr>
  </w:style>
  <w:style w:type="paragraph" w:customStyle="1" w:styleId="2">
    <w:name w:val="Уровень Выделение 2"/>
    <w:basedOn w:val="a2"/>
    <w:link w:val="24"/>
    <w:qFormat/>
    <w:rsid w:val="00F32204"/>
    <w:pPr>
      <w:numPr>
        <w:ilvl w:val="5"/>
        <w:numId w:val="7"/>
      </w:numPr>
      <w:jc w:val="both"/>
    </w:pPr>
  </w:style>
  <w:style w:type="paragraph" w:customStyle="1" w:styleId="5">
    <w:name w:val="Уровень 5"/>
    <w:basedOn w:val="a2"/>
    <w:link w:val="51"/>
    <w:qFormat/>
    <w:rsid w:val="00F32204"/>
    <w:pPr>
      <w:numPr>
        <w:ilvl w:val="6"/>
        <w:numId w:val="7"/>
      </w:numPr>
    </w:pPr>
  </w:style>
  <w:style w:type="character" w:customStyle="1" w:styleId="24">
    <w:name w:val="Уровень Выделение 2 Знак"/>
    <w:basedOn w:val="a3"/>
    <w:link w:val="2"/>
    <w:rsid w:val="00B240AF"/>
    <w:rPr>
      <w:rFonts w:ascii="Tahoma" w:hAnsi="Tahoma"/>
      <w:szCs w:val="24"/>
    </w:rPr>
  </w:style>
  <w:style w:type="paragraph" w:customStyle="1" w:styleId="afb">
    <w:name w:val="Уровень Формул текст"/>
    <w:basedOn w:val="a2"/>
    <w:link w:val="afc"/>
    <w:qFormat/>
    <w:rsid w:val="00D45214"/>
    <w:pPr>
      <w:spacing w:after="120"/>
      <w:ind w:left="1559"/>
      <w:contextualSpacing/>
      <w:jc w:val="both"/>
    </w:pPr>
    <w:rPr>
      <w:rFonts w:cs="Arial"/>
      <w:szCs w:val="20"/>
    </w:rPr>
  </w:style>
  <w:style w:type="character" w:customStyle="1" w:styleId="51">
    <w:name w:val="Уровень 5 Знак"/>
    <w:basedOn w:val="a3"/>
    <w:link w:val="5"/>
    <w:rsid w:val="00B240AF"/>
    <w:rPr>
      <w:rFonts w:ascii="Tahoma" w:hAnsi="Tahoma"/>
      <w:szCs w:val="24"/>
    </w:rPr>
  </w:style>
  <w:style w:type="paragraph" w:customStyle="1" w:styleId="afd">
    <w:name w:val="Уровень Формул"/>
    <w:basedOn w:val="a2"/>
    <w:link w:val="afe"/>
    <w:qFormat/>
    <w:rsid w:val="0056354D"/>
    <w:pPr>
      <w:spacing w:before="240" w:after="240"/>
      <w:jc w:val="both"/>
    </w:pPr>
    <w:rPr>
      <w:rFonts w:ascii="Cambria Math" w:hAnsi="Cambria Math" w:cs="Arial"/>
      <w:i/>
      <w:sz w:val="24"/>
      <w:szCs w:val="20"/>
    </w:rPr>
  </w:style>
  <w:style w:type="character" w:customStyle="1" w:styleId="afc">
    <w:name w:val="Уровень Формул текст Знак"/>
    <w:basedOn w:val="a3"/>
    <w:link w:val="afb"/>
    <w:rsid w:val="00D45214"/>
    <w:rPr>
      <w:rFonts w:ascii="Tahoma" w:hAnsi="Tahoma" w:cs="Arial"/>
    </w:rPr>
  </w:style>
  <w:style w:type="character" w:customStyle="1" w:styleId="afe">
    <w:name w:val="Уровень Формул Знак"/>
    <w:basedOn w:val="a3"/>
    <w:link w:val="afd"/>
    <w:rsid w:val="0056354D"/>
    <w:rPr>
      <w:rFonts w:ascii="Cambria Math" w:hAnsi="Cambria Math" w:cs="Arial"/>
      <w:i/>
      <w:sz w:val="24"/>
      <w:lang w:val="en-GB"/>
    </w:rPr>
  </w:style>
  <w:style w:type="character" w:customStyle="1" w:styleId="22">
    <w:name w:val="Заголовок 2 Знак"/>
    <w:basedOn w:val="a3"/>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f">
    <w:name w:val="footnote text"/>
    <w:basedOn w:val="a2"/>
    <w:link w:val="aff0"/>
    <w:semiHidden/>
    <w:unhideWhenUsed/>
    <w:rsid w:val="00D322B6"/>
    <w:rPr>
      <w:szCs w:val="20"/>
    </w:rPr>
  </w:style>
  <w:style w:type="character" w:customStyle="1" w:styleId="aff0">
    <w:name w:val="Текст сноски Знак"/>
    <w:basedOn w:val="a3"/>
    <w:link w:val="aff"/>
    <w:semiHidden/>
    <w:rsid w:val="00D322B6"/>
    <w:rPr>
      <w:rFonts w:ascii="Tahoma" w:hAnsi="Tahoma"/>
    </w:rPr>
  </w:style>
  <w:style w:type="character" w:styleId="aff1">
    <w:name w:val="footnote reference"/>
    <w:basedOn w:val="a3"/>
    <w:semiHidden/>
    <w:unhideWhenUsed/>
    <w:rsid w:val="00D322B6"/>
    <w:rPr>
      <w:vertAlign w:val="superscript"/>
    </w:rPr>
  </w:style>
  <w:style w:type="paragraph" w:customStyle="1" w:styleId="17">
    <w:name w:val="Обычный1"/>
    <w:rsid w:val="00192811"/>
    <w:pPr>
      <w:snapToGrid w:val="0"/>
      <w:spacing w:before="100" w:after="100"/>
    </w:pPr>
    <w:rPr>
      <w:sz w:val="24"/>
    </w:rPr>
  </w:style>
  <w:style w:type="paragraph" w:customStyle="1" w:styleId="Default">
    <w:name w:val="Default"/>
    <w:rsid w:val="00242F68"/>
    <w:pPr>
      <w:autoSpaceDE w:val="0"/>
      <w:autoSpaceDN w:val="0"/>
      <w:adjustRightInd w:val="0"/>
    </w:pPr>
    <w:rPr>
      <w:color w:val="000000"/>
      <w:sz w:val="24"/>
      <w:szCs w:val="24"/>
    </w:rPr>
  </w:style>
  <w:style w:type="character" w:customStyle="1" w:styleId="aff2">
    <w:name w:val="Стиль Выделение"/>
    <w:aliases w:val="Глава 3 + Tahoma полужирный"/>
    <w:basedOn w:val="af9"/>
    <w:rsid w:val="00D3065C"/>
    <w:rPr>
      <w:rFonts w:ascii="Tahoma" w:hAnsi="Tahoma" w:cs="Arial"/>
      <w:b w:val="0"/>
      <w:bCs/>
      <w:sz w:val="20"/>
      <w:szCs w:val="20"/>
    </w:rPr>
  </w:style>
  <w:style w:type="character" w:styleId="aff3">
    <w:name w:val="Unresolved Mention"/>
    <w:basedOn w:val="a3"/>
    <w:uiPriority w:val="99"/>
    <w:semiHidden/>
    <w:unhideWhenUsed/>
    <w:rsid w:val="00D05D98"/>
    <w:rPr>
      <w:color w:val="605E5C"/>
      <w:shd w:val="clear" w:color="auto" w:fill="E1DFDD"/>
    </w:rPr>
  </w:style>
  <w:style w:type="paragraph" w:customStyle="1" w:styleId="a1">
    <w:name w:val="Подпункт спецификации"/>
    <w:basedOn w:val="aff4"/>
    <w:rsid w:val="00EE110B"/>
    <w:pPr>
      <w:numPr>
        <w:ilvl w:val="1"/>
        <w:numId w:val="8"/>
      </w:numPr>
      <w:tabs>
        <w:tab w:val="clear" w:pos="851"/>
      </w:tabs>
      <w:autoSpaceDE w:val="0"/>
      <w:autoSpaceDN w:val="0"/>
      <w:spacing w:after="60"/>
      <w:ind w:left="792" w:hanging="432"/>
      <w:jc w:val="both"/>
    </w:pPr>
    <w:rPr>
      <w:rFonts w:ascii="Arial" w:hAnsi="Arial" w:cs="Arial"/>
      <w:color w:val="000000"/>
      <w:szCs w:val="20"/>
    </w:rPr>
  </w:style>
  <w:style w:type="paragraph" w:customStyle="1" w:styleId="a0">
    <w:name w:val="Пункт спецификации"/>
    <w:basedOn w:val="a2"/>
    <w:rsid w:val="00EE110B"/>
    <w:pPr>
      <w:numPr>
        <w:numId w:val="8"/>
      </w:numPr>
      <w:autoSpaceDE w:val="0"/>
      <w:autoSpaceDN w:val="0"/>
      <w:spacing w:before="120" w:after="120"/>
      <w:jc w:val="both"/>
    </w:pPr>
    <w:rPr>
      <w:rFonts w:ascii="Arial" w:hAnsi="Arial" w:cs="Arial"/>
      <w:b/>
      <w:szCs w:val="20"/>
    </w:rPr>
  </w:style>
  <w:style w:type="paragraph" w:customStyle="1" w:styleId="aff5">
    <w:name w:val="Текст таб"/>
    <w:basedOn w:val="a2"/>
    <w:rsid w:val="00EE110B"/>
    <w:pPr>
      <w:tabs>
        <w:tab w:val="left" w:pos="9000"/>
      </w:tabs>
      <w:autoSpaceDE w:val="0"/>
      <w:autoSpaceDN w:val="0"/>
      <w:spacing w:after="60"/>
      <w:ind w:left="567"/>
      <w:jc w:val="both"/>
    </w:pPr>
    <w:rPr>
      <w:rFonts w:ascii="Arial" w:hAnsi="Arial" w:cs="Arial"/>
      <w:szCs w:val="20"/>
    </w:rPr>
  </w:style>
  <w:style w:type="paragraph" w:customStyle="1" w:styleId="Pointmark">
    <w:name w:val="Point (mark)"/>
    <w:rsid w:val="00EE110B"/>
    <w:pPr>
      <w:numPr>
        <w:numId w:val="9"/>
      </w:numPr>
      <w:tabs>
        <w:tab w:val="clear" w:pos="360"/>
        <w:tab w:val="num" w:pos="1134"/>
      </w:tabs>
      <w:spacing w:after="60"/>
      <w:ind w:left="567" w:firstLine="0"/>
      <w:jc w:val="both"/>
    </w:pPr>
    <w:rPr>
      <w:rFonts w:ascii="Arial" w:hAnsi="Arial" w:cs="Arial"/>
      <w:lang w:eastAsia="en-US"/>
    </w:rPr>
  </w:style>
  <w:style w:type="paragraph" w:customStyle="1" w:styleId="12">
    <w:name w:val="Подпункт спецификации 1"/>
    <w:basedOn w:val="a1"/>
    <w:rsid w:val="00EE110B"/>
    <w:pPr>
      <w:numPr>
        <w:ilvl w:val="2"/>
      </w:numPr>
      <w:tabs>
        <w:tab w:val="clear" w:pos="1418"/>
      </w:tabs>
      <w:ind w:left="1639" w:hanging="504"/>
    </w:pPr>
  </w:style>
  <w:style w:type="paragraph" w:styleId="aff4">
    <w:name w:val="Body Text Indent"/>
    <w:basedOn w:val="a2"/>
    <w:link w:val="aff6"/>
    <w:semiHidden/>
    <w:unhideWhenUsed/>
    <w:rsid w:val="00EE110B"/>
    <w:pPr>
      <w:spacing w:after="120"/>
      <w:ind w:left="283"/>
    </w:pPr>
  </w:style>
  <w:style w:type="character" w:customStyle="1" w:styleId="aff6">
    <w:name w:val="Основной текст с отступом Знак"/>
    <w:basedOn w:val="a3"/>
    <w:link w:val="aff4"/>
    <w:semiHidden/>
    <w:rsid w:val="00EE110B"/>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4353264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2875334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446194231">
      <w:bodyDiv w:val="1"/>
      <w:marLeft w:val="0"/>
      <w:marRight w:val="0"/>
      <w:marTop w:val="0"/>
      <w:marBottom w:val="0"/>
      <w:divBdr>
        <w:top w:val="none" w:sz="0" w:space="0" w:color="auto"/>
        <w:left w:val="none" w:sz="0" w:space="0" w:color="auto"/>
        <w:bottom w:val="none" w:sz="0" w:space="0" w:color="auto"/>
        <w:right w:val="none" w:sz="0" w:space="0" w:color="auto"/>
      </w:divBdr>
    </w:div>
    <w:div w:id="576668092">
      <w:bodyDiv w:val="1"/>
      <w:marLeft w:val="0"/>
      <w:marRight w:val="0"/>
      <w:marTop w:val="0"/>
      <w:marBottom w:val="0"/>
      <w:divBdr>
        <w:top w:val="none" w:sz="0" w:space="0" w:color="auto"/>
        <w:left w:val="none" w:sz="0" w:space="0" w:color="auto"/>
        <w:bottom w:val="none" w:sz="0" w:space="0" w:color="auto"/>
        <w:right w:val="none" w:sz="0" w:space="0" w:color="auto"/>
      </w:divBdr>
    </w:div>
    <w:div w:id="805976025">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942035211">
      <w:bodyDiv w:val="1"/>
      <w:marLeft w:val="0"/>
      <w:marRight w:val="0"/>
      <w:marTop w:val="0"/>
      <w:marBottom w:val="0"/>
      <w:divBdr>
        <w:top w:val="none" w:sz="0" w:space="0" w:color="auto"/>
        <w:left w:val="none" w:sz="0" w:space="0" w:color="auto"/>
        <w:bottom w:val="none" w:sz="0" w:space="0" w:color="auto"/>
        <w:right w:val="none" w:sz="0" w:space="0" w:color="auto"/>
      </w:divBdr>
    </w:div>
    <w:div w:id="1212882132">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s.moex.com/files/33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s.moex.com/files/27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fs.moex.com/files/17108/49593" TargetMode="External"/><Relationship Id="rId23" Type="http://schemas.microsoft.com/office/2018/08/relationships/commentsExtensible" Target="commentsExtensi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s.moex.com/files/17108/49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8518-696B-40CF-8889-2B9F4282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1617</Words>
  <Characters>9698</Characters>
  <Application>Microsoft Office Word</Application>
  <DocSecurity>0</DocSecurity>
  <Lines>80</Lines>
  <Paragraphs>22</Paragraphs>
  <ScaleCrop>false</ScaleCrop>
  <Company/>
  <LinksUpToDate>false</LinksUpToDate>
  <CharactersWithSpaces>11293</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2025-03-20T10:30:00Z</dcterms:created>
  <dcterms:modified xsi:type="dcterms:W3CDTF">2025-05-13T14:56:00Z</dcterms:modified>
</cp:coreProperties>
</file>