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595D84" w:rsidTr="00595D84">
        <w:tc>
          <w:tcPr>
            <w:tcW w:w="4218" w:type="dxa"/>
          </w:tcPr>
          <w:p w:rsidR="00595D84" w:rsidRDefault="00595D84" w:rsidP="00595D8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УТВЕРЖДЕН</w:t>
            </w:r>
            <w:r w:rsidR="00902F46">
              <w:rPr>
                <w:rFonts w:ascii="Arial" w:hAnsi="Arial" w:cs="Arial"/>
                <w:iCs/>
              </w:rPr>
              <w:t>Ы</w:t>
            </w:r>
            <w:bookmarkStart w:id="0" w:name="_GoBack"/>
            <w:bookmarkEnd w:id="0"/>
          </w:p>
          <w:p w:rsidR="00595D84" w:rsidRDefault="00595D84" w:rsidP="00595D84">
            <w:pPr>
              <w:rPr>
                <w:rFonts w:ascii="Arial" w:hAnsi="Arial" w:cs="Arial"/>
                <w:iCs/>
              </w:rPr>
            </w:pPr>
          </w:p>
          <w:p w:rsidR="00595D84" w:rsidRDefault="00595D84" w:rsidP="00595D84">
            <w:pPr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Правлением </w:t>
            </w:r>
            <w:r w:rsidR="00F026C6">
              <w:rPr>
                <w:rFonts w:ascii="Arial" w:hAnsi="Arial" w:cs="Arial"/>
                <w:iCs/>
              </w:rPr>
              <w:t>П</w:t>
            </w:r>
            <w:r w:rsidR="00102D87">
              <w:rPr>
                <w:rFonts w:ascii="Arial" w:hAnsi="Arial" w:cs="Arial"/>
                <w:iCs/>
              </w:rPr>
              <w:t>АО Московская Б</w:t>
            </w:r>
            <w:r>
              <w:rPr>
                <w:rFonts w:ascii="Arial" w:hAnsi="Arial" w:cs="Arial"/>
                <w:iCs/>
              </w:rPr>
              <w:t xml:space="preserve">иржа </w:t>
            </w:r>
          </w:p>
          <w:p w:rsidR="00CA1482" w:rsidRDefault="00042723" w:rsidP="00595D84">
            <w:pPr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30 июля </w:t>
            </w:r>
            <w:r w:rsidR="00595D84">
              <w:rPr>
                <w:rFonts w:ascii="Arial" w:hAnsi="Arial" w:cs="Arial"/>
                <w:iCs/>
              </w:rPr>
              <w:t>20</w:t>
            </w:r>
            <w:r w:rsidR="00CA1482">
              <w:rPr>
                <w:rFonts w:ascii="Arial" w:hAnsi="Arial" w:cs="Arial"/>
                <w:iCs/>
              </w:rPr>
              <w:t>1</w:t>
            </w:r>
            <w:r w:rsidR="00F026C6">
              <w:rPr>
                <w:rFonts w:ascii="Arial" w:hAnsi="Arial" w:cs="Arial"/>
                <w:iCs/>
              </w:rPr>
              <w:t>5</w:t>
            </w:r>
            <w:r w:rsidR="00595D84">
              <w:rPr>
                <w:rFonts w:ascii="Arial" w:hAnsi="Arial" w:cs="Arial"/>
                <w:iCs/>
              </w:rPr>
              <w:t xml:space="preserve"> г.</w:t>
            </w:r>
          </w:p>
          <w:p w:rsidR="00595D84" w:rsidRDefault="00595D84" w:rsidP="00595D84">
            <w:pPr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(Протокол  №</w:t>
            </w:r>
            <w:r w:rsidR="00042723">
              <w:rPr>
                <w:rFonts w:ascii="Arial" w:hAnsi="Arial" w:cs="Arial"/>
                <w:iCs/>
              </w:rPr>
              <w:t xml:space="preserve"> 42</w:t>
            </w:r>
            <w:r>
              <w:rPr>
                <w:rFonts w:ascii="Arial" w:hAnsi="Arial" w:cs="Arial"/>
                <w:iCs/>
              </w:rPr>
              <w:t xml:space="preserve">) </w:t>
            </w:r>
          </w:p>
          <w:p w:rsidR="00595D84" w:rsidRDefault="00595D84" w:rsidP="00595D84">
            <w:pPr>
              <w:rPr>
                <w:rFonts w:ascii="Arial" w:hAnsi="Arial" w:cs="Arial"/>
                <w:iCs/>
              </w:rPr>
            </w:pPr>
          </w:p>
          <w:p w:rsidR="00CA1482" w:rsidRDefault="00CA1482" w:rsidP="00595D84">
            <w:pPr>
              <w:rPr>
                <w:rFonts w:ascii="Arial" w:hAnsi="Arial" w:cs="Arial"/>
                <w:iCs/>
              </w:rPr>
            </w:pPr>
          </w:p>
          <w:p w:rsidR="00042723" w:rsidRDefault="00042723" w:rsidP="00595D84">
            <w:pPr>
              <w:rPr>
                <w:rFonts w:ascii="Arial" w:hAnsi="Arial" w:cs="Arial"/>
                <w:iCs/>
              </w:rPr>
            </w:pPr>
          </w:p>
          <w:p w:rsidR="00595D84" w:rsidRDefault="00595D84" w:rsidP="00595D84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iCs/>
              </w:rPr>
              <w:t xml:space="preserve"> </w:t>
            </w:r>
          </w:p>
        </w:tc>
      </w:tr>
    </w:tbl>
    <w:p w:rsidR="00595D84" w:rsidRDefault="00595D84" w:rsidP="00595D84">
      <w:pPr>
        <w:spacing w:after="0" w:line="240" w:lineRule="auto"/>
        <w:jc w:val="center"/>
        <w:rPr>
          <w:b/>
          <w:sz w:val="28"/>
          <w:szCs w:val="28"/>
        </w:rPr>
      </w:pPr>
    </w:p>
    <w:p w:rsidR="006C1DCE" w:rsidRPr="00595D84" w:rsidRDefault="006C1DCE" w:rsidP="00595D84">
      <w:pPr>
        <w:spacing w:after="0" w:line="240" w:lineRule="auto"/>
        <w:jc w:val="center"/>
        <w:rPr>
          <w:b/>
          <w:sz w:val="28"/>
          <w:szCs w:val="28"/>
        </w:rPr>
      </w:pPr>
      <w:r w:rsidRPr="00595D84">
        <w:rPr>
          <w:b/>
          <w:sz w:val="28"/>
          <w:szCs w:val="28"/>
        </w:rPr>
        <w:t>Правила представления информации о внебиржевых сделках брокерами, дилерами, управляющими, акционерными инвестиционными фондами и управляющими компаниями и ведения реестра внебиржевых сделок</w:t>
      </w:r>
    </w:p>
    <w:p w:rsidR="006C1DCE" w:rsidRPr="00595D84" w:rsidRDefault="00F026C6" w:rsidP="00595D8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Публичного</w:t>
      </w:r>
      <w:r w:rsidR="006C1DCE" w:rsidRPr="00595D84">
        <w:rPr>
          <w:b/>
          <w:sz w:val="28"/>
          <w:szCs w:val="28"/>
        </w:rPr>
        <w:t xml:space="preserve"> акционерного общества</w:t>
      </w:r>
      <w:r w:rsidR="00595D84">
        <w:rPr>
          <w:b/>
          <w:sz w:val="28"/>
          <w:szCs w:val="28"/>
        </w:rPr>
        <w:t xml:space="preserve"> </w:t>
      </w:r>
      <w:r w:rsidR="006C1DCE" w:rsidRPr="00595D84">
        <w:rPr>
          <w:b/>
          <w:sz w:val="28"/>
          <w:szCs w:val="28"/>
        </w:rPr>
        <w:t>«Московская Биржа ММВБ-РТС»</w:t>
      </w:r>
    </w:p>
    <w:p w:rsidR="006C1DCE" w:rsidRDefault="006C1DCE" w:rsidP="00C015EB">
      <w:pPr>
        <w:spacing w:after="0" w:line="360" w:lineRule="auto"/>
        <w:jc w:val="both"/>
      </w:pPr>
    </w:p>
    <w:p w:rsidR="006C1DCE" w:rsidRPr="006F7682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b/>
        </w:rPr>
      </w:pPr>
      <w:r w:rsidRPr="006F7682">
        <w:rPr>
          <w:b/>
        </w:rPr>
        <w:t>Общие положения</w:t>
      </w:r>
    </w:p>
    <w:p w:rsidR="00C015EB" w:rsidRDefault="00C015EB" w:rsidP="005D0AB5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proofErr w:type="gramStart"/>
      <w:r>
        <w:t>Настоящие Правила приняты в соответствии с Положением о предоставлении информации о заключении сделок, утвержденным приказом ФСФР России от 22.06.2006 № 06-67/</w:t>
      </w:r>
      <w:proofErr w:type="spellStart"/>
      <w:r>
        <w:t>пз</w:t>
      </w:r>
      <w:proofErr w:type="spellEnd"/>
      <w:r>
        <w:t xml:space="preserve">-н (далее – Положение), и определяют порядок представления брокерами, дилерами, управляющими, акционерными инвестиционными фондами и управляющими компаниями (далее – Участник) информации о сделках купли-продажи эмиссионных ценных бумаг и инвестиционных паев паевых инвестиционных фондов (за исключением сделок </w:t>
      </w:r>
      <w:proofErr w:type="spellStart"/>
      <w:r>
        <w:t>репо</w:t>
      </w:r>
      <w:proofErr w:type="spellEnd"/>
      <w:r>
        <w:t xml:space="preserve"> и опционных договоров (контрактов)), совершенных</w:t>
      </w:r>
      <w:proofErr w:type="gramEnd"/>
      <w:r>
        <w:t xml:space="preserve"> ими не на торгах организаторов торговли на рынке ценных бумаг (далее – внебиржевые сделки) в </w:t>
      </w:r>
      <w:r w:rsidR="00F026C6">
        <w:t>Публичное</w:t>
      </w:r>
      <w:r w:rsidR="005D0AB5">
        <w:t xml:space="preserve"> акционерное общество «</w:t>
      </w:r>
      <w:r w:rsidR="005D0AB5" w:rsidRPr="005D0AB5">
        <w:t>Московская Биржа ММВБ-РТС</w:t>
      </w:r>
      <w:r w:rsidR="005D0AB5">
        <w:t>»</w:t>
      </w:r>
      <w:r>
        <w:t xml:space="preserve"> (далее – Биржа), а также порядок ведения Биржей реестра внебиржевых сделок.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 В случае если внебиржевая сделка заключена между Участниками, информация о внебиржевой сделке представляется только Участником, который является покупателем по указанной сделке.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В случае если внебиржевая сделка заключена брокером от имени и за счет клиента и при этом ни одна из сторон по этой сделке не является Участником, информация о такой сделке представляется брокером. При этом если внебиржевая сделка заключена брокерами (брокером в случае коммерческого представительства) от имени и за счет клиентов, являющихся сторонами этой сделки, информация об этой сделке представляется только брокером, заключившим ее от имени и за счет клиента - покупателя по указанной сделке.</w:t>
      </w:r>
    </w:p>
    <w:p w:rsidR="006C1DCE" w:rsidRP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Информация о внебиржевых сделках представляется Бирже в сроки, установленные Положением, в форме отчетов о внебиржевых сделках (далее – отчет).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Отчеты представляются Бирже одним из следующих способов: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по системе электронного документооборота (далее – Система ЭДО) – основной способ представления отчетов;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lastRenderedPageBreak/>
        <w:t xml:space="preserve">с использованием </w:t>
      </w:r>
      <w:proofErr w:type="spellStart"/>
      <w:r>
        <w:t>Web</w:t>
      </w:r>
      <w:proofErr w:type="spellEnd"/>
      <w:r>
        <w:t xml:space="preserve">-интерфейса приложения ОТС </w:t>
      </w:r>
      <w:proofErr w:type="spellStart"/>
      <w:r>
        <w:t>Client</w:t>
      </w:r>
      <w:proofErr w:type="spellEnd"/>
      <w:r>
        <w:t xml:space="preserve"> раздела «ОТС» Личного Кабинета Участника (далее – Система ЛКУ);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через торговый шлюз</w:t>
      </w:r>
      <w:r w:rsidR="00595D84">
        <w:t xml:space="preserve"> ОТС-монитора Плаза-2</w:t>
      </w:r>
      <w:r>
        <w:t xml:space="preserve"> (далее – Шлюз </w:t>
      </w:r>
      <w:r w:rsidR="00595D84">
        <w:t>Плаза-2</w:t>
      </w:r>
      <w:r>
        <w:t>).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Отчеты принимаются Биржей: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по Системе ЭДО </w:t>
      </w:r>
      <w:r w:rsidR="00595D84">
        <w:t xml:space="preserve">– </w:t>
      </w:r>
      <w:r>
        <w:t>ежедневно 24 часа в сутки; при этом в период с 2</w:t>
      </w:r>
      <w:r w:rsidR="00A26673">
        <w:t>1</w:t>
      </w:r>
      <w:r>
        <w:t>:00 до 9</w:t>
      </w:r>
      <w:r w:rsidR="0097241C">
        <w:t>:</w:t>
      </w:r>
      <w:r>
        <w:t>00 по московскому времени возможны перерывы в приеме отчетов в связи с техническим обслуживанием Системы ЭДО;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по системе ЛКУ </w:t>
      </w:r>
      <w:r w:rsidR="00595D84">
        <w:t>–</w:t>
      </w:r>
      <w:r>
        <w:t xml:space="preserve"> ежедневно 24 часа в сутки; при этом в период с 2</w:t>
      </w:r>
      <w:r w:rsidR="00A26673">
        <w:t>1</w:t>
      </w:r>
      <w:r>
        <w:t>:00 до 9</w:t>
      </w:r>
      <w:r w:rsidR="0097241C">
        <w:t>:</w:t>
      </w:r>
      <w:r>
        <w:t>00 по московскому времени возможны перерывы в приеме отчетов в связи с техническим обслуживанием Системы ЛКУ.</w:t>
      </w:r>
    </w:p>
    <w:p w:rsidR="00C015EB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через Шлюз </w:t>
      </w:r>
      <w:r w:rsidR="00595D84">
        <w:t>Плаза-2</w:t>
      </w:r>
      <w:r>
        <w:t xml:space="preserve"> </w:t>
      </w:r>
      <w:r w:rsidR="00595D84">
        <w:t>–</w:t>
      </w:r>
      <w:r>
        <w:t xml:space="preserve"> ежедневно 24 часа в сутки; при этом в период с 23:</w:t>
      </w:r>
      <w:r w:rsidR="00A26673">
        <w:t>5</w:t>
      </w:r>
      <w:r>
        <w:t>0 до 9</w:t>
      </w:r>
      <w:r w:rsidR="00FA4F73">
        <w:t>:</w:t>
      </w:r>
      <w:r>
        <w:t xml:space="preserve">00 по московскому времени возможны перерывы в приеме отчетов в связи с техническим обслуживанием Шлюза </w:t>
      </w:r>
      <w:r w:rsidR="00595D84">
        <w:t>Плаза-2</w:t>
      </w:r>
      <w:r>
        <w:t>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При приеме отчета Биржа присваивает внебиржевой сделке, о которой представлен отчет, уникальный регистрационный номер.</w:t>
      </w:r>
    </w:p>
    <w:p w:rsidR="00C015EB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Участник может уполномочить </w:t>
      </w:r>
      <w:proofErr w:type="gramStart"/>
      <w:r>
        <w:t>предоставлять отчеты</w:t>
      </w:r>
      <w:proofErr w:type="gramEnd"/>
      <w:r>
        <w:t xml:space="preserve"> о своих внебиржевых сделках иное лицо, предоставив соответствующую доверенность по форме, указанной в </w:t>
      </w:r>
      <w:r w:rsidR="006F7682">
        <w:t>П</w:t>
      </w:r>
      <w:r>
        <w:t>риложении №2 к настоящим Правилам.</w:t>
      </w:r>
    </w:p>
    <w:p w:rsidR="003778E4" w:rsidRDefault="003778E4" w:rsidP="003778E4">
      <w:pPr>
        <w:pStyle w:val="a3"/>
        <w:spacing w:after="120" w:line="288" w:lineRule="auto"/>
        <w:ind w:left="792"/>
        <w:contextualSpacing w:val="0"/>
        <w:jc w:val="both"/>
      </w:pPr>
    </w:p>
    <w:p w:rsidR="006C1DCE" w:rsidRPr="006F7682" w:rsidRDefault="006C1DCE" w:rsidP="003778E4">
      <w:pPr>
        <w:pStyle w:val="a3"/>
        <w:numPr>
          <w:ilvl w:val="0"/>
          <w:numId w:val="2"/>
        </w:numPr>
        <w:spacing w:after="120" w:line="288" w:lineRule="auto"/>
        <w:ind w:left="357" w:hanging="357"/>
        <w:contextualSpacing w:val="0"/>
        <w:jc w:val="both"/>
        <w:rPr>
          <w:b/>
        </w:rPr>
      </w:pPr>
      <w:r w:rsidRPr="006F7682">
        <w:rPr>
          <w:b/>
        </w:rPr>
        <w:t>Представление отчетов через Систему ЭДО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Отчеты принимаются Биржей в формате, определенном в Спецификации форматов электронных сообщений для Отчетов о внебиржевых сделках, являющейся Приложением №1 к настоящим Правилам (далее – Спецификация).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Отчет, не соответствующий Спецификации, Биржей не принимается.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Биржа подтверждает прием отчета путем направления Участнику, представившему отчет, уведомления о приеме отчета в формате, определенном в Спецификации. В указанном уведомлении содержится, в частности, присвоенный Биржей регистрационный номер внебиржевой сделки.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Участник может удалить ошибочно направленный отчет, направив Бирже сообщение </w:t>
      </w:r>
      <w:r w:rsidRPr="006F7682">
        <w:rPr>
          <w:b/>
        </w:rPr>
        <w:t>«</w:t>
      </w:r>
      <w:proofErr w:type="spellStart"/>
      <w:r w:rsidRPr="006F7682">
        <w:rPr>
          <w:b/>
        </w:rPr>
        <w:t>RevokeDeals</w:t>
      </w:r>
      <w:proofErr w:type="spellEnd"/>
      <w:r w:rsidRPr="006F7682">
        <w:rPr>
          <w:b/>
        </w:rPr>
        <w:t>»</w:t>
      </w:r>
      <w:r>
        <w:t xml:space="preserve"> с указанием присвоенного Биржей регистрационного номера внебиржевой сделки. 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В случае получения по Системе ЭДО запроса, содержащего строку </w:t>
      </w:r>
      <w:r w:rsidRPr="006F7682">
        <w:rPr>
          <w:b/>
        </w:rPr>
        <w:t>«</w:t>
      </w:r>
      <w:proofErr w:type="spellStart"/>
      <w:r w:rsidRPr="006F7682">
        <w:rPr>
          <w:b/>
        </w:rPr>
        <w:t>GetIssueList</w:t>
      </w:r>
      <w:proofErr w:type="spellEnd"/>
      <w:r w:rsidRPr="006F7682">
        <w:rPr>
          <w:b/>
        </w:rPr>
        <w:t>»</w:t>
      </w:r>
      <w:r>
        <w:t>, Биржа предоставляет Участнику, направившему запрос, Справочник инструментов, содержащий информацию о ценных бумагах, включенных в котировальный список хотя бы одной фондовой биржи, в формате, определенном в Спецификации.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В случае получения по Системе ЭДО запроса, содержащего строку </w:t>
      </w:r>
      <w:r w:rsidRPr="006F7682">
        <w:rPr>
          <w:b/>
        </w:rPr>
        <w:t>«</w:t>
      </w:r>
      <w:proofErr w:type="spellStart"/>
      <w:r w:rsidRPr="006F7682">
        <w:rPr>
          <w:b/>
        </w:rPr>
        <w:t>SubscribeIssueList</w:t>
      </w:r>
      <w:proofErr w:type="spellEnd"/>
      <w:r w:rsidRPr="006F7682">
        <w:rPr>
          <w:b/>
        </w:rPr>
        <w:t>»</w:t>
      </w:r>
      <w:r>
        <w:t>, Биржа предоставляет Участнику, направившему запрос, информацию обо всех дальнейших изменениях Справочника инструментов в формате, определенном в Спецификации.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lastRenderedPageBreak/>
        <w:t xml:space="preserve">В случае получения по Системе ЭДО запроса, содержащего строку </w:t>
      </w:r>
      <w:r w:rsidRPr="006F7682">
        <w:rPr>
          <w:b/>
        </w:rPr>
        <w:t>«</w:t>
      </w:r>
      <w:proofErr w:type="spellStart"/>
      <w:r w:rsidRPr="006F7682">
        <w:rPr>
          <w:b/>
        </w:rPr>
        <w:t>UnsubscribeIssueList</w:t>
      </w:r>
      <w:proofErr w:type="spellEnd"/>
      <w:r w:rsidRPr="006F7682">
        <w:rPr>
          <w:b/>
        </w:rPr>
        <w:t>»</w:t>
      </w:r>
      <w:r>
        <w:t>, Биржа прекращает предоставление Участнику, направившему запрос, направление информации об изменениях Справочника инструментов.</w:t>
      </w:r>
    </w:p>
    <w:p w:rsidR="006F7682" w:rsidRDefault="006F7682" w:rsidP="006F768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Отчеты, запросы на предоставление Справочника инструментов, а также другие сообщения по Системе ЭДО направляются Бирже на адрес </w:t>
      </w:r>
      <w:r w:rsidRPr="006F7682">
        <w:rPr>
          <w:b/>
        </w:rPr>
        <w:t>«EMAIL@AORTS.OTC»</w:t>
      </w:r>
      <w:r>
        <w:t>.</w:t>
      </w:r>
    </w:p>
    <w:p w:rsidR="00007D39" w:rsidRDefault="006F7682" w:rsidP="006F7682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Отчет о внебиржевой сделке, сведения о которой уже внесены в реестр внебиржевых сделок, Биржей повторно не принимается.</w:t>
      </w:r>
    </w:p>
    <w:p w:rsidR="003778E4" w:rsidRDefault="003778E4" w:rsidP="003778E4">
      <w:pPr>
        <w:pStyle w:val="a3"/>
        <w:spacing w:after="120" w:line="288" w:lineRule="auto"/>
        <w:ind w:left="792"/>
        <w:contextualSpacing w:val="0"/>
        <w:jc w:val="both"/>
      </w:pPr>
    </w:p>
    <w:p w:rsidR="006C1DCE" w:rsidRPr="003778E4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b/>
        </w:rPr>
      </w:pPr>
      <w:r w:rsidRPr="003778E4">
        <w:rPr>
          <w:b/>
        </w:rPr>
        <w:t>Представление отчетов через Систему ЛКУ</w:t>
      </w:r>
    </w:p>
    <w:p w:rsidR="004C7463" w:rsidRDefault="004C7463" w:rsidP="004C7463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Представление отчета через Систему ЛКУ может осуществляться:</w:t>
      </w:r>
    </w:p>
    <w:p w:rsidR="004C7463" w:rsidRDefault="004C7463" w:rsidP="004C7463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путем ввода информации по каждой сделке вручную в специальной форме ввода;</w:t>
      </w:r>
    </w:p>
    <w:p w:rsidR="004C7463" w:rsidRDefault="004C7463" w:rsidP="004C7463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путем формирования списка сделок в стороннем приложении и последующего импорта в Систему ЛКУ в виде файла формата XML.</w:t>
      </w:r>
    </w:p>
    <w:p w:rsidR="004C7463" w:rsidRDefault="004C7463" w:rsidP="004C7463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Участник имеет возможность внести исправления в информацию о сделке до момента ее передачи на сервер </w:t>
      </w:r>
      <w:proofErr w:type="spellStart"/>
      <w:proofErr w:type="gramStart"/>
      <w:r>
        <w:t>C</w:t>
      </w:r>
      <w:proofErr w:type="gramEnd"/>
      <w:r>
        <w:t>истемы</w:t>
      </w:r>
      <w:proofErr w:type="spellEnd"/>
      <w:r>
        <w:t xml:space="preserve"> ЛКУ. </w:t>
      </w:r>
    </w:p>
    <w:p w:rsidR="004C7463" w:rsidRDefault="004C7463" w:rsidP="004C7463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При обнаружении ошибки в ранее зарегистрированной сделке Участник может удалить такую сделку с сервера Системы ЛКУ.</w:t>
      </w:r>
    </w:p>
    <w:p w:rsidR="004C7463" w:rsidRDefault="004C7463" w:rsidP="004C7463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 xml:space="preserve">Подробная инструкция по работе с </w:t>
      </w:r>
      <w:proofErr w:type="spellStart"/>
      <w:r>
        <w:t>Web</w:t>
      </w:r>
      <w:proofErr w:type="spellEnd"/>
      <w:r>
        <w:t xml:space="preserve">-интерфейсом приложения ОТС </w:t>
      </w:r>
      <w:proofErr w:type="spellStart"/>
      <w:r>
        <w:t>Client</w:t>
      </w:r>
      <w:proofErr w:type="spellEnd"/>
      <w:r>
        <w:t xml:space="preserve"> для формирования отчетов в Системе ЛКУ расположена по ссылке «Руководство пользователя» в разделе «ОТС» Личного Кабинета Участника.</w:t>
      </w:r>
    </w:p>
    <w:p w:rsidR="00770EB0" w:rsidRDefault="00770EB0" w:rsidP="00770EB0">
      <w:pPr>
        <w:pStyle w:val="a3"/>
        <w:spacing w:after="120" w:line="288" w:lineRule="auto"/>
        <w:ind w:left="792"/>
        <w:contextualSpacing w:val="0"/>
        <w:jc w:val="both"/>
      </w:pPr>
    </w:p>
    <w:p w:rsidR="006C1DCE" w:rsidRPr="00770EB0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b/>
        </w:rPr>
      </w:pPr>
      <w:r w:rsidRPr="00770EB0">
        <w:rPr>
          <w:b/>
        </w:rPr>
        <w:t xml:space="preserve">Представление отчетов через </w:t>
      </w:r>
      <w:r w:rsidR="00595D84">
        <w:rPr>
          <w:b/>
        </w:rPr>
        <w:t>Ш</w:t>
      </w:r>
      <w:r w:rsidRPr="00770EB0">
        <w:rPr>
          <w:b/>
        </w:rPr>
        <w:t xml:space="preserve">люз </w:t>
      </w:r>
      <w:r w:rsidR="00595D84">
        <w:rPr>
          <w:b/>
        </w:rPr>
        <w:t>Плаза-2</w:t>
      </w:r>
    </w:p>
    <w:p w:rsidR="00484561" w:rsidRDefault="00770EB0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При использовании </w:t>
      </w:r>
      <w:r w:rsidR="00595D84">
        <w:t>Ш</w:t>
      </w:r>
      <w:r>
        <w:t xml:space="preserve">люза </w:t>
      </w:r>
      <w:r w:rsidR="00595D84">
        <w:t>Плаза-2</w:t>
      </w:r>
      <w:r w:rsidRPr="00770EB0">
        <w:t xml:space="preserve"> </w:t>
      </w:r>
      <w:r>
        <w:t xml:space="preserve">Участник получает доступ </w:t>
      </w:r>
      <w:proofErr w:type="gramStart"/>
      <w:r>
        <w:t>к</w:t>
      </w:r>
      <w:proofErr w:type="gramEnd"/>
      <w:r w:rsidR="00484561">
        <w:t>:</w:t>
      </w:r>
    </w:p>
    <w:p w:rsidR="00770EB0" w:rsidRDefault="00770EB0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списку собственных ранее зарегистрированных </w:t>
      </w:r>
      <w:r w:rsidR="00484561">
        <w:t>внебиржевых сделок;</w:t>
      </w:r>
    </w:p>
    <w:p w:rsidR="00484561" w:rsidRDefault="00484561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агрегированной статистике по зарегистрированным всеми Участниками внебиржевым сделкам;</w:t>
      </w:r>
    </w:p>
    <w:p w:rsidR="00484561" w:rsidRDefault="00484561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>списку ценных бумаг, по которым возможно предоставление отчета;</w:t>
      </w:r>
    </w:p>
    <w:p w:rsidR="00484561" w:rsidRDefault="00484561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</w:pPr>
      <w:r>
        <w:t xml:space="preserve">списку кодов ошибок и предупреждений, генерируемых </w:t>
      </w:r>
      <w:r w:rsidR="00595D84">
        <w:t>Ш</w:t>
      </w:r>
      <w:r>
        <w:t xml:space="preserve">люзом </w:t>
      </w:r>
      <w:r w:rsidR="00595D84">
        <w:t>Плаза-2</w:t>
      </w:r>
      <w:r w:rsidRPr="00484561">
        <w:t>.</w:t>
      </w:r>
      <w:r>
        <w:t xml:space="preserve"> </w:t>
      </w:r>
    </w:p>
    <w:p w:rsidR="00B83113" w:rsidRDefault="00484561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Участник подает отчет через шлюз </w:t>
      </w:r>
      <w:r>
        <w:rPr>
          <w:lang w:val="en-US"/>
        </w:rPr>
        <w:t>Plaza</w:t>
      </w:r>
      <w:r w:rsidRPr="00484561">
        <w:t xml:space="preserve"> </w:t>
      </w:r>
      <w:r>
        <w:rPr>
          <w:lang w:val="en-US"/>
        </w:rPr>
        <w:t>II</w:t>
      </w:r>
      <w:r w:rsidRPr="00484561">
        <w:t xml:space="preserve"> </w:t>
      </w:r>
      <w:r>
        <w:t xml:space="preserve">с помощью команды </w:t>
      </w:r>
      <w:proofErr w:type="spellStart"/>
      <w:r w:rsidRPr="00484561">
        <w:rPr>
          <w:b/>
        </w:rPr>
        <w:t>OtcImportDeal</w:t>
      </w:r>
      <w:proofErr w:type="spellEnd"/>
      <w:r w:rsidRPr="00484561">
        <w:t>.</w:t>
      </w:r>
    </w:p>
    <w:p w:rsidR="00484561" w:rsidRDefault="00484561" w:rsidP="008A78A2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Участник может удалить ошибочно направленный отчет</w:t>
      </w:r>
      <w:r w:rsidR="008A78A2">
        <w:t xml:space="preserve"> с помощью команды </w:t>
      </w:r>
      <w:proofErr w:type="spellStart"/>
      <w:r w:rsidR="008A78A2" w:rsidRPr="008A78A2">
        <w:rPr>
          <w:b/>
        </w:rPr>
        <w:t>OtcRevokeDeal</w:t>
      </w:r>
      <w:proofErr w:type="spellEnd"/>
      <w:r>
        <w:t xml:space="preserve">. </w:t>
      </w:r>
    </w:p>
    <w:p w:rsidR="00770EB0" w:rsidRDefault="008A78A2" w:rsidP="00595D84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 xml:space="preserve">Формат списков, доступных Участнику при использовании </w:t>
      </w:r>
      <w:r w:rsidR="00595D84">
        <w:t>Ш</w:t>
      </w:r>
      <w:r>
        <w:t xml:space="preserve">люза </w:t>
      </w:r>
      <w:r w:rsidR="00595D84">
        <w:t>Плаза-2</w:t>
      </w:r>
      <w:r w:rsidRPr="008A78A2">
        <w:t xml:space="preserve">, </w:t>
      </w:r>
      <w:r>
        <w:t xml:space="preserve">а также формат команд для добавления и удаления отчетов представлен в </w:t>
      </w:r>
      <w:r w:rsidR="00595D84">
        <w:t>руководстве «</w:t>
      </w:r>
      <w:r w:rsidR="00595D84" w:rsidRPr="00595D84">
        <w:t>Шлюз ОТС-монитора Plaza-2</w:t>
      </w:r>
      <w:r w:rsidR="00595D84">
        <w:t>»</w:t>
      </w:r>
      <w:r>
        <w:t>, раскрываемом на официальном сайте Биржи.</w:t>
      </w:r>
    </w:p>
    <w:p w:rsidR="008A78A2" w:rsidRDefault="008A78A2" w:rsidP="008A78A2">
      <w:pPr>
        <w:pStyle w:val="a3"/>
        <w:spacing w:after="120" w:line="288" w:lineRule="auto"/>
        <w:ind w:left="792"/>
        <w:contextualSpacing w:val="0"/>
        <w:jc w:val="both"/>
      </w:pPr>
    </w:p>
    <w:p w:rsidR="006C1DCE" w:rsidRPr="00770EB0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b/>
        </w:rPr>
      </w:pPr>
      <w:r w:rsidRPr="00770EB0">
        <w:rPr>
          <w:b/>
        </w:rPr>
        <w:t>Порядок ведения реестра внебиржевых сделок</w:t>
      </w:r>
    </w:p>
    <w:p w:rsidR="00770EB0" w:rsidRDefault="00770EB0" w:rsidP="00770EB0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Биржа ведет реестр всех внебиржевых сделок, отчеты о которых были ею приняты (далее – Реестр).</w:t>
      </w:r>
    </w:p>
    <w:p w:rsidR="00770EB0" w:rsidRDefault="00770EB0" w:rsidP="00770EB0">
      <w:pPr>
        <w:pStyle w:val="a3"/>
        <w:numPr>
          <w:ilvl w:val="1"/>
          <w:numId w:val="2"/>
        </w:numPr>
        <w:spacing w:after="120" w:line="288" w:lineRule="auto"/>
        <w:jc w:val="both"/>
      </w:pPr>
      <w:r>
        <w:lastRenderedPageBreak/>
        <w:t>Реестр содержит сведения, предусмотренные Положением, в отношении каждой внебиржевой сделки, включенной в Реестр, а также регистрационный номер такой сделки.</w:t>
      </w:r>
    </w:p>
    <w:p w:rsidR="00770EB0" w:rsidRDefault="00770EB0" w:rsidP="00770EB0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В случае если Участник удаляет представленный отчет, соответствующая внебиржевая сделка исключается из Реестра.</w:t>
      </w:r>
    </w:p>
    <w:p w:rsidR="00770EB0" w:rsidRDefault="00770EB0" w:rsidP="00770EB0">
      <w:pPr>
        <w:pStyle w:val="a3"/>
        <w:spacing w:after="120" w:line="288" w:lineRule="auto"/>
        <w:ind w:left="792"/>
        <w:jc w:val="both"/>
      </w:pPr>
      <w:r>
        <w:t>Биржа вправе внести исправления в сведения о внебиржевой сделке, включенной в Реестр, в части информации о ценных бумагах, являющихся предметом внебиржевой сделки, и (или) валюте денежного обязательства по внебиржевой сделке в случае ошибочности или некорректности указанной информации.</w:t>
      </w:r>
    </w:p>
    <w:p w:rsidR="00770EB0" w:rsidRDefault="00770EB0" w:rsidP="00770EB0">
      <w:pPr>
        <w:pStyle w:val="a3"/>
        <w:numPr>
          <w:ilvl w:val="1"/>
          <w:numId w:val="2"/>
        </w:numPr>
        <w:spacing w:after="120" w:line="288" w:lineRule="auto"/>
        <w:jc w:val="both"/>
      </w:pPr>
      <w:r>
        <w:t>По требованию Участника, представившего отчет, Биржа направляет ему выписку из Реестра, содержащую информацию об указанной в запросе внебиржевой сделке с указанием присвоенного ей Биржей регистрационного номера.</w:t>
      </w:r>
    </w:p>
    <w:p w:rsidR="00770EB0" w:rsidRPr="006C1DCE" w:rsidRDefault="00770EB0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</w:pPr>
      <w:r>
        <w:t>Требование о получении выписки из Реестра и выписка из Реестра представляются в бумажной форме.</w:t>
      </w:r>
    </w:p>
    <w:sectPr w:rsidR="00770EB0" w:rsidRPr="006C1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4F" w:rsidRDefault="0041324F" w:rsidP="0041324F">
      <w:pPr>
        <w:spacing w:after="0" w:line="240" w:lineRule="auto"/>
      </w:pPr>
      <w:r>
        <w:separator/>
      </w:r>
    </w:p>
  </w:endnote>
  <w:endnote w:type="continuationSeparator" w:id="0">
    <w:p w:rsidR="0041324F" w:rsidRDefault="0041324F" w:rsidP="0041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4F" w:rsidRDefault="004132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4F" w:rsidRDefault="0041324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4F" w:rsidRDefault="004132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4F" w:rsidRDefault="0041324F" w:rsidP="0041324F">
      <w:pPr>
        <w:spacing w:after="0" w:line="240" w:lineRule="auto"/>
      </w:pPr>
      <w:r>
        <w:separator/>
      </w:r>
    </w:p>
  </w:footnote>
  <w:footnote w:type="continuationSeparator" w:id="0">
    <w:p w:rsidR="0041324F" w:rsidRDefault="0041324F" w:rsidP="0041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4F" w:rsidRDefault="004132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4F" w:rsidRDefault="0041324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4F" w:rsidRDefault="004132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7957"/>
    <w:multiLevelType w:val="multilevel"/>
    <w:tmpl w:val="9D0C5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E020CF"/>
    <w:multiLevelType w:val="hybridMultilevel"/>
    <w:tmpl w:val="C3B6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209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97540C9"/>
    <w:multiLevelType w:val="multilevel"/>
    <w:tmpl w:val="248C6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CE"/>
    <w:rsid w:val="00007D39"/>
    <w:rsid w:val="00042723"/>
    <w:rsid w:val="00102D87"/>
    <w:rsid w:val="003778E4"/>
    <w:rsid w:val="0041324F"/>
    <w:rsid w:val="00484561"/>
    <w:rsid w:val="00490C7F"/>
    <w:rsid w:val="004C7463"/>
    <w:rsid w:val="00595D84"/>
    <w:rsid w:val="005D0AB5"/>
    <w:rsid w:val="00675741"/>
    <w:rsid w:val="006C1DCE"/>
    <w:rsid w:val="006F7682"/>
    <w:rsid w:val="00770EB0"/>
    <w:rsid w:val="008A78A2"/>
    <w:rsid w:val="00902F46"/>
    <w:rsid w:val="0097241C"/>
    <w:rsid w:val="00A26673"/>
    <w:rsid w:val="00AE2E42"/>
    <w:rsid w:val="00B83113"/>
    <w:rsid w:val="00C015EB"/>
    <w:rsid w:val="00CA1482"/>
    <w:rsid w:val="00D30961"/>
    <w:rsid w:val="00DA4527"/>
    <w:rsid w:val="00F026C6"/>
    <w:rsid w:val="00F4048D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CE"/>
    <w:pPr>
      <w:ind w:left="720"/>
      <w:contextualSpacing/>
    </w:pPr>
  </w:style>
  <w:style w:type="table" w:styleId="a4">
    <w:name w:val="Table Grid"/>
    <w:basedOn w:val="a1"/>
    <w:uiPriority w:val="59"/>
    <w:rsid w:val="005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24F"/>
  </w:style>
  <w:style w:type="paragraph" w:styleId="a7">
    <w:name w:val="footer"/>
    <w:basedOn w:val="a"/>
    <w:link w:val="a8"/>
    <w:uiPriority w:val="99"/>
    <w:unhideWhenUsed/>
    <w:rsid w:val="0041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CE"/>
    <w:pPr>
      <w:ind w:left="720"/>
      <w:contextualSpacing/>
    </w:pPr>
  </w:style>
  <w:style w:type="table" w:styleId="a4">
    <w:name w:val="Table Grid"/>
    <w:basedOn w:val="a1"/>
    <w:uiPriority w:val="59"/>
    <w:rsid w:val="005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24F"/>
  </w:style>
  <w:style w:type="paragraph" w:styleId="a7">
    <w:name w:val="footer"/>
    <w:basedOn w:val="a"/>
    <w:link w:val="a8"/>
    <w:uiPriority w:val="99"/>
    <w:unhideWhenUsed/>
    <w:rsid w:val="0041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2015-08-03T07:33:00Z</dcterms:created>
  <dcterms:modified xsi:type="dcterms:W3CDTF">2015-08-03T07:44:00Z</dcterms:modified>
</cp:coreProperties>
</file>