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  <w:r w:rsidRPr="00BD4536">
        <w:rPr>
          <w:rFonts w:ascii="Tahoma" w:hAnsi="Tahoma" w:cs="Tahoma"/>
          <w:b w:val="0"/>
        </w:rPr>
        <w:t xml:space="preserve">решением </w:t>
      </w:r>
      <w:r w:rsidRPr="00BD4536">
        <w:rPr>
          <w:rFonts w:ascii="Tahoma" w:hAnsi="Tahoma" w:cs="Tahoma"/>
          <w:b w:val="0"/>
          <w:lang w:val="ru-RU"/>
        </w:rPr>
        <w:t>Наблюдательного совета</w:t>
      </w:r>
      <w:r w:rsidRPr="00BD4536">
        <w:rPr>
          <w:rFonts w:ascii="Tahoma" w:hAnsi="Tahoma" w:cs="Tahoma"/>
          <w:b w:val="0"/>
        </w:rPr>
        <w:t xml:space="preserve"> 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BD4536">
        <w:rPr>
          <w:rFonts w:ascii="Tahoma" w:hAnsi="Tahoma" w:cs="Tahoma"/>
          <w:b w:val="0"/>
          <w:lang w:val="ru-RU"/>
        </w:rPr>
        <w:t>Публичного</w:t>
      </w:r>
      <w:r w:rsidRPr="00BD4536">
        <w:rPr>
          <w:rFonts w:ascii="Tahoma" w:hAnsi="Tahoma" w:cs="Tahoma"/>
          <w:b w:val="0"/>
        </w:rPr>
        <w:t xml:space="preserve"> акционерного общества </w:t>
      </w:r>
      <w:r w:rsidRPr="00BD4536">
        <w:rPr>
          <w:rFonts w:ascii="Tahoma" w:hAnsi="Tahoma" w:cs="Tahoma"/>
          <w:b w:val="0"/>
          <w:lang w:val="ru-RU"/>
        </w:rPr>
        <w:t>«Московская Биржа</w:t>
      </w:r>
      <w:r w:rsidRPr="00BD4536">
        <w:rPr>
          <w:rFonts w:ascii="Tahoma" w:hAnsi="Tahoma" w:cs="Tahoma"/>
          <w:b w:val="0"/>
        </w:rPr>
        <w:t xml:space="preserve"> </w:t>
      </w:r>
      <w:r w:rsidRPr="00BD4536">
        <w:rPr>
          <w:rFonts w:ascii="Tahoma" w:hAnsi="Tahoma" w:cs="Tahoma"/>
          <w:b w:val="0"/>
          <w:lang w:val="ru-RU"/>
        </w:rPr>
        <w:t>ММВБ-</w:t>
      </w:r>
      <w:r w:rsidRPr="00BD4536">
        <w:rPr>
          <w:rFonts w:ascii="Tahoma" w:hAnsi="Tahoma" w:cs="Tahoma"/>
          <w:b w:val="0"/>
        </w:rPr>
        <w:t>РТС</w:t>
      </w:r>
      <w:r w:rsidRPr="00BD4536">
        <w:rPr>
          <w:rFonts w:ascii="Tahoma" w:hAnsi="Tahoma" w:cs="Tahoma"/>
          <w:b w:val="0"/>
          <w:lang w:val="ru-RU"/>
        </w:rPr>
        <w:t>»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2C723B">
        <w:rPr>
          <w:rFonts w:ascii="Tahoma" w:hAnsi="Tahoma" w:cs="Tahoma"/>
          <w:b w:val="0"/>
          <w:lang w:val="ru-RU"/>
        </w:rPr>
        <w:t xml:space="preserve">«28» декабря 2018 г. </w:t>
      </w:r>
      <w:r w:rsidRPr="002C723B">
        <w:rPr>
          <w:rFonts w:ascii="Tahoma" w:hAnsi="Tahoma" w:cs="Tahoma"/>
          <w:b w:val="0"/>
        </w:rPr>
        <w:t>(Протокол №</w:t>
      </w:r>
      <w:r w:rsidRPr="002C723B">
        <w:rPr>
          <w:rFonts w:ascii="Tahoma" w:hAnsi="Tahoma" w:cs="Tahoma"/>
          <w:b w:val="0"/>
          <w:lang w:val="ru-RU"/>
        </w:rPr>
        <w:t>13)</w:t>
      </w:r>
    </w:p>
    <w:p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  <w:r w:rsidRPr="00BD4536">
        <w:rPr>
          <w:rFonts w:ascii="Tahoma" w:hAnsi="Tahoma" w:cs="Tahoma"/>
          <w:sz w:val="20"/>
          <w:szCs w:val="20"/>
        </w:rPr>
        <w:t>Председатель Наблюдательного совета</w:t>
      </w: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:rsidR="0049115A" w:rsidRPr="00893FB5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:rsidTr="00C60600">
        <w:trPr>
          <w:cantSplit/>
          <w:trHeight w:val="660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:rsidR="0049115A" w:rsidRPr="00B5557D" w:rsidRDefault="0049115A" w:rsidP="00C606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:rsidR="0049115A" w:rsidRPr="00B5557D" w:rsidRDefault="0049115A" w:rsidP="00C60600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:rsidR="0049115A" w:rsidRPr="00893FB5" w:rsidDel="0026119B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:rsidTr="00C60600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:rsidR="0049115A" w:rsidRPr="00893FB5" w:rsidRDefault="0049115A" w:rsidP="00C60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49115A" w:rsidP="00C60600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:rsidR="0049115A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lastRenderedPageBreak/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:rsidR="0049115A" w:rsidRPr="00AA5410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>в соответствии с п.п.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 xml:space="preserve">по формуле:.  </w:t>
      </w:r>
      <w:r w:rsidRPr="0064644A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(Бсбор + Ксбор</w:t>
      </w:r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Бсбор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Ксбор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комиссионного вознаграждения за клиринг по Срочным контрактам 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Бсбор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Ксбор,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Pr="0092778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АП = 60 000 руб. – Бсбор , где:</w:t>
      </w:r>
    </w:p>
    <w:p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Бсбор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Бсбор, уплаченного Участником торгов в течение календарного квартала, превышает 60 000 рублей, то Абонентская плата не взимается. </w:t>
      </w:r>
    </w:p>
    <w:p w:rsidR="0049115A" w:rsidRPr="00927781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 w:rsidRPr="00927781">
        <w:rPr>
          <w:rFonts w:ascii="Tahoma" w:hAnsi="Tahoma" w:cs="Tahoma"/>
          <w:b/>
          <w:bCs/>
          <w:sz w:val="20"/>
          <w:szCs w:val="20"/>
        </w:rPr>
        <w:t>2.</w:t>
      </w:r>
      <w:r w:rsidRPr="00927781">
        <w:rPr>
          <w:rFonts w:ascii="Tahoma" w:hAnsi="Tahoma" w:cs="Tahoma"/>
          <w:b/>
          <w:bCs/>
          <w:sz w:val="20"/>
          <w:szCs w:val="20"/>
        </w:rPr>
        <w:tab/>
        <w:t xml:space="preserve">Дополнительные условия порядка расчета и взимания Абонентской платы: </w:t>
      </w:r>
    </w:p>
    <w:p w:rsidR="0049115A" w:rsidRPr="00893FB5" w:rsidRDefault="0049115A" w:rsidP="0049115A">
      <w:pPr>
        <w:spacing w:before="120"/>
        <w:ind w:left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  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:rsidR="0049115A" w:rsidRPr="004C2F10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:rsidR="0049115A" w:rsidRPr="00893FB5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Абонентская плата взимается либо Клиринговым центром в порядке и сроки установленные Правилами клиринга, либо посредством выставления счета</w:t>
      </w:r>
      <w:r w:rsidRPr="004A3012">
        <w:rPr>
          <w:rFonts w:ascii="Tahoma" w:hAnsi="Tahoma" w:cs="Tahoma"/>
          <w:sz w:val="20"/>
          <w:szCs w:val="20"/>
        </w:rPr>
        <w:t xml:space="preserve">С Участника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FutPrice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3.4.2 – 3.4.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Pr="004B67B3">
              <w:rPr>
                <w:rFonts w:ascii="Tahoma" w:hAnsi="Tahoma" w:cs="Tahoma"/>
                <w:sz w:val="20"/>
                <w:szCs w:val="20"/>
              </w:rPr>
              <w:t xml:space="preserve"> 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893FB5" w:rsidTr="00C60600">
        <w:tc>
          <w:tcPr>
            <w:tcW w:w="14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3.5 Тарифов (далее – Группа контрактов) (в базисных пунктах).</w:t>
            </w:r>
          </w:p>
        </w:tc>
      </w:tr>
    </w:tbl>
    <w:p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маржируемых опционных контрактов</w:t>
      </w:r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маржируемых опционных контрактов (далее – опционы) на основании безадресных или адресных заявок рассчитывается по следующей формуле:</w:t>
      </w:r>
    </w:p>
    <w:p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:rsidR="0049115A" w:rsidRPr="00DC12D6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:rsidTr="00C60600">
        <w:tc>
          <w:tcPr>
            <w:tcW w:w="22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:rsidTr="00C60600">
        <w:tc>
          <w:tcPr>
            <w:tcW w:w="2215" w:type="dxa"/>
            <w:vAlign w:val="center"/>
          </w:tcPr>
          <w:p w:rsidR="0049115A" w:rsidRPr="00DC12D6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фьючерса, являющегося базовым 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Del="006E2FB7" w:rsidRDefault="0049115A" w:rsidP="00C60600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 :</w:t>
            </w:r>
          </w:p>
          <w:p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1,5 – до 19-00 МСК 01.10.2018г.  и в течение маркетингового периода, срок которого составляет 1 год: 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01.10.2018г. (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19-00 мск) по 01.10.2019 включительно (до 19:00 МСК) (далее – Маркетинговый период)</w:t>
            </w:r>
          </w:p>
          <w:p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49115A" w:rsidRPr="00D03140" w:rsidTr="00C60600">
        <w:tc>
          <w:tcPr>
            <w:tcW w:w="2215" w:type="dxa"/>
            <w:vAlign w:val="center"/>
          </w:tcPr>
          <w:p w:rsidR="0049115A" w:rsidRPr="00D03140" w:rsidRDefault="0049115A" w:rsidP="00C60600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3.4.4 – 3.4.5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49115A" w:rsidRPr="00D03140" w:rsidTr="00C60600">
        <w:trPr>
          <w:trHeight w:val="615"/>
        </w:trPr>
        <w:tc>
          <w:tcPr>
            <w:tcW w:w="2215" w:type="dxa"/>
            <w:vAlign w:val="center"/>
          </w:tcPr>
          <w:p w:rsidR="0049115A" w:rsidRPr="00D03140" w:rsidRDefault="0049115A" w:rsidP="00C60600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 :</w:t>
            </w:r>
          </w:p>
          <w:p w:rsidR="0049115A" w:rsidRPr="00B70C74" w:rsidRDefault="0049115A" w:rsidP="00C606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        0,02 – до 19:00 МСК 01.10.2018г.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0,05 – с 19:00 МСК 01.10.2018г. до 19:00 МСК 01.11.2018г.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0,02875 - с 19:00</w:t>
            </w:r>
            <w:r w:rsidRPr="00B70C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МСК 01.11.2018г. до 19:00 МСК 01.10.2019 </w:t>
            </w:r>
          </w:p>
          <w:p w:rsidR="0049115A" w:rsidRPr="00B70C74" w:rsidRDefault="0049115A" w:rsidP="00C60600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:rsidR="0049115A" w:rsidRDefault="0049115A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49115A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 за совершение скальперских сделок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Под скальперскими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Величина биржевого сбора за совершение скальперских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скальперскими сделками для опционов понимаются Срочные сделки, совершенные на основании безадресных заявок, которые могут привести к открытию противоположных позиций по базовому активу опциона (фьючерсу) в случае исполнения опционов (вне зависимости от цены исполнения (страйка)) в течение одного Торгового дня. 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Скальперские пары для опционов (покупка базового актива – продажа базового актива):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Суммарная величина биржевого сбора за совершение скальперских сделок с опционами рассчитывается по следующим формулам:</w:t>
      </w:r>
    </w:p>
    <w:p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 за совершение скальперских сделок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 за совершение в течение Торгового дня Срочных сделок с опционами, составляющих скальперские сделки, которые приводят к открытию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 за совершение в течение Торгового дня Срочных сделок с опционами, составляющих скальперские сделки, которые приводят к закрытию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коэффициент, равный 0,5. </w:t>
            </w:r>
          </w:p>
        </w:tc>
      </w:tr>
    </w:tbl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(FutPrice)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(FutPrice) для расчета величины биржевого сбора в соответствии с пунктами </w:t>
      </w:r>
      <w:r w:rsidRPr="00D03140">
        <w:rPr>
          <w:rFonts w:ascii="Tahoma" w:hAnsi="Tahoma" w:cs="Tahoma"/>
          <w:sz w:val="20"/>
          <w:szCs w:val="20"/>
        </w:rPr>
        <w:lastRenderedPageBreak/>
        <w:t xml:space="preserve">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>Группы контрактов по типам базовых активов</w:t>
      </w:r>
    </w:p>
    <w:tbl>
      <w:tblPr>
        <w:tblStyle w:val="a7"/>
        <w:tblW w:w="9879" w:type="dxa"/>
        <w:tblLook w:val="04A0" w:firstRow="1" w:lastRow="0" w:firstColumn="1" w:lastColumn="0" w:noHBand="0" w:noVBand="1"/>
      </w:tblPr>
      <w:tblGrid>
        <w:gridCol w:w="382"/>
        <w:gridCol w:w="1699"/>
        <w:gridCol w:w="4320"/>
        <w:gridCol w:w="1749"/>
        <w:gridCol w:w="1729"/>
      </w:tblGrid>
      <w:tr w:rsidR="0049115A" w:rsidRPr="00D03140" w:rsidTr="00C60600">
        <w:trPr>
          <w:trHeight w:val="1233"/>
        </w:trPr>
        <w:tc>
          <w:tcPr>
            <w:tcW w:w="382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4335" w:type="dxa"/>
            <w:shd w:val="clear" w:color="auto" w:fill="A6A6A6" w:themeFill="background1" w:themeFillShade="A6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49115A" w:rsidRPr="000F0C0D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r w:rsidRPr="000F0C0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</w:p>
          <w:p w:rsidR="0049115A" w:rsidRPr="00FD654E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до 19</w:t>
            </w:r>
            <w:r w:rsidRPr="00B6626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:00 01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ноября 2018г. включительно 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49115A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С </w:t>
            </w:r>
            <w:r w:rsidRPr="00B6626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19:00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01 ноября 2018г. </w:t>
            </w:r>
          </w:p>
        </w:tc>
      </w:tr>
      <w:tr w:rsidR="0049115A" w:rsidRPr="00D03140" w:rsidTr="00C60600">
        <w:trPr>
          <w:trHeight w:val="986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730" w:type="dxa"/>
          </w:tcPr>
          <w:p w:rsidR="0049115A" w:rsidRPr="00DE25B5" w:rsidRDefault="0049115A" w:rsidP="00C6060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,14</w:t>
            </w:r>
          </w:p>
        </w:tc>
        <w:tc>
          <w:tcPr>
            <w:tcW w:w="1730" w:type="dxa"/>
            <w:vAlign w:val="center"/>
          </w:tcPr>
          <w:p w:rsidR="0049115A" w:rsidRPr="002F2B27" w:rsidRDefault="0049115A" w:rsidP="00C6060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0,50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49115A" w:rsidRPr="00D03140" w:rsidTr="00C60600">
        <w:trPr>
          <w:trHeight w:val="493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0,60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0,20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49115A" w:rsidRPr="00D03140" w:rsidTr="00C60600">
        <w:trPr>
          <w:trHeight w:val="739"/>
        </w:trPr>
        <w:tc>
          <w:tcPr>
            <w:tcW w:w="38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4335" w:type="dxa"/>
            <w:vAlign w:val="center"/>
          </w:tcPr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:rsidR="0049115A" w:rsidRPr="00D03140" w:rsidRDefault="0049115A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730" w:type="dxa"/>
          </w:tcPr>
          <w:p w:rsidR="0049115A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0,40</w:t>
            </w:r>
          </w:p>
        </w:tc>
        <w:tc>
          <w:tcPr>
            <w:tcW w:w="1730" w:type="dxa"/>
            <w:vAlign w:val="center"/>
          </w:tcPr>
          <w:p w:rsidR="0049115A" w:rsidRPr="00D03140" w:rsidRDefault="0049115A" w:rsidP="00C6060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Перечень конкретных базовых активов в рамках каждой подгруппы базовых активов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базовым активом и разными сроками исполнения на основании Заявки «Календарный спред» (далее – Календарный спред). 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установленном в пункте 3.5 Тарифов;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:rsidTr="00C60600">
        <w:tc>
          <w:tcPr>
            <w:tcW w:w="1169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w:lastRenderedPageBreak/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Величина биржевого сбора, установленная в пункте 3.3 Тарифов для регистрации скальперских сделок, в отношении Календарных спредов не применяется.  </w:t>
      </w:r>
    </w:p>
    <w:p w:rsidR="0049115A" w:rsidRPr="00D03140" w:rsidRDefault="0049115A" w:rsidP="0049115A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Маркетингов</w:t>
      </w:r>
      <w:r>
        <w:rPr>
          <w:rFonts w:ascii="Tahoma" w:hAnsi="Tahoma" w:cs="Tahoma"/>
          <w:b/>
          <w:color w:val="auto"/>
          <w:sz w:val="20"/>
          <w:szCs w:val="20"/>
        </w:rPr>
        <w:t>ая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программ</w:t>
      </w:r>
      <w:r>
        <w:rPr>
          <w:rFonts w:ascii="Tahoma" w:hAnsi="Tahoma" w:cs="Tahoma"/>
          <w:b/>
          <w:color w:val="auto"/>
          <w:sz w:val="20"/>
          <w:szCs w:val="20"/>
        </w:rPr>
        <w:t>а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«Развитие товарных фьючерсов (на нефть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BRENT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и золото)»</w:t>
      </w:r>
    </w:p>
    <w:p w:rsidR="0049115A" w:rsidRPr="00D50FB3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50FB3">
        <w:rPr>
          <w:rFonts w:ascii="Tahoma" w:hAnsi="Tahoma" w:cs="Tahoma"/>
          <w:color w:val="auto"/>
          <w:sz w:val="20"/>
          <w:szCs w:val="20"/>
        </w:rPr>
        <w:t xml:space="preserve">Маркетинговая программа «Развитие товарных фьючерсов (на нефть </w:t>
      </w:r>
      <w:r w:rsidRPr="00D50FB3">
        <w:rPr>
          <w:rFonts w:ascii="Tahoma" w:hAnsi="Tahoma" w:cs="Tahoma"/>
          <w:color w:val="auto"/>
          <w:sz w:val="20"/>
          <w:szCs w:val="20"/>
          <w:lang w:val="en-US"/>
        </w:rPr>
        <w:t>BRENT</w:t>
      </w:r>
      <w:r w:rsidRPr="00D50FB3">
        <w:rPr>
          <w:rFonts w:ascii="Tahoma" w:hAnsi="Tahoma" w:cs="Tahoma"/>
          <w:color w:val="auto"/>
          <w:sz w:val="20"/>
          <w:szCs w:val="20"/>
        </w:rPr>
        <w:t xml:space="preserve"> и золото)» (далее – Программа «Развитие товарных фьючерсов» или Программа)– целевая программа по предоставлению Биржей премии по биржевому сбору (далее – Премия) Участникам программы за выполнение условий, установленных</w:t>
      </w:r>
    </w:p>
    <w:p w:rsidR="0049115A" w:rsidRPr="00D03140" w:rsidRDefault="0049115A" w:rsidP="0028107E">
      <w:pPr>
        <w:pStyle w:val="txt"/>
        <w:numPr>
          <w:ilvl w:val="0"/>
          <w:numId w:val="9"/>
        </w:numPr>
        <w:spacing w:before="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подпунктом </w:t>
      </w:r>
      <w:r>
        <w:rPr>
          <w:rFonts w:ascii="Tahoma" w:hAnsi="Tahoma" w:cs="Tahoma"/>
          <w:color w:val="auto"/>
          <w:sz w:val="20"/>
          <w:szCs w:val="20"/>
        </w:rPr>
        <w:t>5.3</w:t>
      </w:r>
      <w:r w:rsidRPr="00D03140">
        <w:rPr>
          <w:rFonts w:ascii="Tahoma" w:hAnsi="Tahoma" w:cs="Tahoma"/>
          <w:color w:val="auto"/>
          <w:sz w:val="20"/>
          <w:szCs w:val="20"/>
        </w:rPr>
        <w:t>Тарифов – для Программы «Развитие товарных фьючерсов»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Целью маркетингов</w:t>
      </w:r>
      <w:r>
        <w:rPr>
          <w:rFonts w:ascii="Tahoma" w:hAnsi="Tahoma" w:cs="Tahoma"/>
          <w:color w:val="auto"/>
          <w:sz w:val="20"/>
          <w:szCs w:val="20"/>
        </w:rPr>
        <w:t>ой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программ</w:t>
      </w:r>
      <w:r>
        <w:rPr>
          <w:rFonts w:ascii="Tahoma" w:hAnsi="Tahoma" w:cs="Tahoma"/>
          <w:color w:val="auto"/>
          <w:sz w:val="20"/>
          <w:szCs w:val="20"/>
        </w:rPr>
        <w:t>ы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является увеличение объема торгов указанными фьючерсами, развитие клиентской базы и повышение привлекательности инструментов срочного рынка для институциональных инвесторов.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Период действия </w:t>
      </w:r>
      <w:r>
        <w:rPr>
          <w:rFonts w:ascii="Tahoma" w:hAnsi="Tahoma" w:cs="Tahoma"/>
          <w:color w:val="auto"/>
          <w:sz w:val="20"/>
          <w:szCs w:val="20"/>
        </w:rPr>
        <w:t xml:space="preserve">Программы </w:t>
      </w:r>
      <w:r w:rsidRPr="00D03140">
        <w:rPr>
          <w:rFonts w:ascii="Tahoma" w:hAnsi="Tahoma" w:cs="Tahoma"/>
          <w:color w:val="auto"/>
          <w:sz w:val="20"/>
          <w:szCs w:val="20"/>
        </w:rPr>
        <w:t>«Развитие товарных фьючерсов»</w:t>
      </w:r>
      <w:r>
        <w:rPr>
          <w:rFonts w:ascii="Tahoma" w:hAnsi="Tahoma" w:cs="Tahoma"/>
          <w:color w:val="auto"/>
          <w:sz w:val="20"/>
          <w:szCs w:val="20"/>
        </w:rPr>
        <w:t xml:space="preserve">: </w:t>
      </w:r>
    </w:p>
    <w:p w:rsidR="0049115A" w:rsidRPr="00D03140" w:rsidRDefault="0049115A" w:rsidP="0028107E">
      <w:pPr>
        <w:pStyle w:val="txt"/>
        <w:numPr>
          <w:ilvl w:val="0"/>
          <w:numId w:val="16"/>
        </w:numPr>
        <w:spacing w:before="120" w:beforeAutospacing="0" w:after="0" w:afterAutospacing="0"/>
        <w:ind w:left="1134" w:hanging="425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3 (три) года: с 03.10.2016 (с 19:00 по московскому времени) до 02.10.2019 (до 19:00 по московскому времени).</w:t>
      </w:r>
    </w:p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</w:t>
      </w:r>
      <w:r>
        <w:rPr>
          <w:rFonts w:ascii="Tahoma" w:hAnsi="Tahoma" w:cs="Tahoma"/>
          <w:color w:val="auto"/>
          <w:sz w:val="20"/>
          <w:szCs w:val="20"/>
        </w:rPr>
        <w:t xml:space="preserve">е </w:t>
      </w:r>
      <w:r w:rsidRPr="00D03140">
        <w:rPr>
          <w:rFonts w:ascii="Tahoma" w:hAnsi="Tahoma" w:cs="Tahoma"/>
          <w:color w:val="auto"/>
          <w:sz w:val="20"/>
          <w:szCs w:val="20"/>
        </w:rPr>
        <w:t>«Развитие товарных фьючерсов».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Участники торгов Срочного рынка ПАО Московская Биржа вправе зарегистрироваться для участия в Программ</w:t>
      </w:r>
      <w:r>
        <w:rPr>
          <w:rFonts w:ascii="Tahoma" w:hAnsi="Tahoma" w:cs="Tahoma"/>
          <w:color w:val="auto"/>
          <w:sz w:val="20"/>
          <w:szCs w:val="20"/>
        </w:rPr>
        <w:t>е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«Развитие товарных фьючерсов»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D03140">
        <w:rPr>
          <w:rFonts w:ascii="Tahoma" w:hAnsi="Tahoma" w:cs="Tahoma"/>
          <w:color w:val="auto"/>
          <w:sz w:val="20"/>
          <w:szCs w:val="20"/>
        </w:rPr>
        <w:t>в течение периода действия с Программы.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Для регистрации в Программе «Развитие товарных фьючерсов» Участник торгов должен быть допущен к совершению сделок в Товарной секции Срочного рынка ПАО Московская Биржа.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 xml:space="preserve">Регистрация осуществляется на основании заявления. Заявление подается Участником торгов на Биржу в форме электронного документа по Системе электронного документооборота (далее – Система ЭДО) или в бумажной форме. 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Заявление, подаваемое в форме электронного документа, должно быть подписано с использованием электронной подписи в соответствии с Правилами ЭДО. 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Участник торгов является Участником программы с даты его регистрации Биржей в качестве Участника данной Программы.</w:t>
      </w:r>
    </w:p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Премии. </w:t>
      </w:r>
    </w:p>
    <w:p w:rsidR="0049115A" w:rsidRDefault="0049115A" w:rsidP="0049115A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Премия предоставляется Участнику программы при условии, что объем сделок, совершенных Участником программы от своего имени и за свой счет и/или за счет Клиентов,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</w:p>
    <w:p w:rsidR="0049115A" w:rsidRPr="00D03140" w:rsidRDefault="0049115A" w:rsidP="0049115A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100 000 (сто тысяч) фьючерсов на нефть </w:t>
      </w:r>
      <w:r w:rsidRPr="00D03140">
        <w:rPr>
          <w:rFonts w:ascii="Tahoma" w:hAnsi="Tahoma" w:cs="Tahoma"/>
          <w:color w:val="auto"/>
          <w:sz w:val="20"/>
          <w:szCs w:val="20"/>
          <w:lang w:val="en-US"/>
        </w:rPr>
        <w:t>BRENT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и (или) фьючерсов на золото (суммарный объем) – для получения Премии по Программе «Развитие товарных фьючерсов».</w:t>
      </w:r>
    </w:p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Премия рассчитывается по формуле:</w:t>
      </w:r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US"/>
                    </w:rPr>
                    <m:t>∑Fee×k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US"/>
                </w:rPr>
                <m:t>;2</m:t>
              </m:r>
            </m:e>
          </m:d>
        </m:oMath>
      </m:oMathPara>
    </w:p>
    <w:p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49115A" w:rsidRPr="00D03140" w:rsidTr="00C60600">
        <w:tc>
          <w:tcPr>
            <w:tcW w:w="1129" w:type="dxa"/>
            <w:vAlign w:val="center"/>
          </w:tcPr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49115A" w:rsidRPr="00D03140" w:rsidTr="00C60600">
        <w:tc>
          <w:tcPr>
            <w:tcW w:w="1129" w:type="dxa"/>
            <w:vAlign w:val="center"/>
          </w:tcPr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D03140">
              <w:rPr>
                <w:rFonts w:ascii="Tahoma" w:hAnsi="Tahoma" w:cs="Tahoma" w:hint="eastAsia"/>
                <w:b/>
                <w:color w:val="auto"/>
                <w:sz w:val="20"/>
                <w:szCs w:val="20"/>
                <w:lang w:val="en-US"/>
              </w:rPr>
              <w:t>∑</w:t>
            </w:r>
            <w:r w:rsidRPr="00D03140">
              <w:rPr>
                <w:rFonts w:ascii="Tahoma" w:hAnsi="Tahoma" w:cs="Tahoma" w:hint="eastAsia"/>
                <w:b/>
                <w:color w:val="auto"/>
                <w:sz w:val="20"/>
                <w:szCs w:val="20"/>
                <w:lang w:val="en-US"/>
              </w:rPr>
              <w:t>Fee</w:t>
            </w:r>
          </w:p>
        </w:tc>
        <w:tc>
          <w:tcPr>
            <w:tcW w:w="7513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Клиентов:</w:t>
            </w:r>
          </w:p>
          <w:p w:rsidR="0049115A" w:rsidRPr="00D03140" w:rsidRDefault="0049115A" w:rsidP="0028107E">
            <w:pPr>
              <w:pStyle w:val="txt"/>
              <w:numPr>
                <w:ilvl w:val="0"/>
                <w:numId w:val="3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 фьючерсами на нефть BRENT и фьючерсами на золото (для Участников Программы «Развитие товарных фьючерсов»).</w:t>
            </w:r>
          </w:p>
        </w:tc>
      </w:tr>
      <w:tr w:rsidR="0049115A" w:rsidRPr="00D03140" w:rsidTr="00C60600">
        <w:tc>
          <w:tcPr>
            <w:tcW w:w="1129" w:type="dxa"/>
            <w:vAlign w:val="center"/>
          </w:tcPr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:rsidTr="00C60600">
        <w:tc>
          <w:tcPr>
            <w:tcW w:w="1129" w:type="dxa"/>
            <w:vAlign w:val="center"/>
          </w:tcPr>
          <w:p w:rsidR="0049115A" w:rsidRPr="00D03140" w:rsidRDefault="0049115A" w:rsidP="00C60600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>k</m:t>
                </m:r>
              </m:oMath>
            </m:oMathPara>
          </w:p>
        </w:tc>
        <w:tc>
          <w:tcPr>
            <w:tcW w:w="7513" w:type="dxa"/>
            <w:vAlign w:val="center"/>
          </w:tcPr>
          <w:p w:rsidR="0049115A" w:rsidRPr="00D03140" w:rsidRDefault="0049115A" w:rsidP="00C60600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коэффициент величины Премии, равный 0,25.</w:t>
            </w:r>
          </w:p>
        </w:tc>
      </w:tr>
    </w:tbl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Перечисление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Отчет формируется Биржей в отношении обеих Программ и содержит информацию:</w:t>
      </w:r>
    </w:p>
    <w:p w:rsidR="0049115A" w:rsidRPr="00D03140" w:rsidRDefault="0049115A" w:rsidP="0028107E">
      <w:pPr>
        <w:pStyle w:val="txt"/>
        <w:numPr>
          <w:ilvl w:val="0"/>
          <w:numId w:val="2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от своего имени и за свой счет и/или за счет Клиентов, в течение отчетного периода: </w:t>
      </w:r>
    </w:p>
    <w:p w:rsidR="0049115A" w:rsidRPr="00D03140" w:rsidRDefault="0049115A" w:rsidP="0028107E">
      <w:pPr>
        <w:pStyle w:val="txt"/>
        <w:numPr>
          <w:ilvl w:val="0"/>
          <w:numId w:val="4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 фьючерсами на нефть BRENT;</w:t>
      </w:r>
    </w:p>
    <w:p w:rsidR="0049115A" w:rsidRPr="00D03140" w:rsidRDefault="0049115A" w:rsidP="0028107E">
      <w:pPr>
        <w:pStyle w:val="txt"/>
        <w:numPr>
          <w:ilvl w:val="0"/>
          <w:numId w:val="4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 фьючерсами на золото.</w:t>
      </w:r>
    </w:p>
    <w:p w:rsidR="0049115A" w:rsidRPr="00D03140" w:rsidRDefault="0049115A" w:rsidP="0028107E">
      <w:pPr>
        <w:pStyle w:val="txt"/>
        <w:numPr>
          <w:ilvl w:val="0"/>
          <w:numId w:val="2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абзаце втором настоящего пункта Тарифов; </w:t>
      </w:r>
    </w:p>
    <w:p w:rsidR="0049115A" w:rsidRPr="00D03140" w:rsidRDefault="0049115A" w:rsidP="0028107E">
      <w:pPr>
        <w:pStyle w:val="txt"/>
        <w:numPr>
          <w:ilvl w:val="0"/>
          <w:numId w:val="2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о величине Премии по каждой Программе, подлежащей выплате Участнику программы за отчетный период.   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</w:t>
      </w:r>
      <w:r>
        <w:rPr>
          <w:rFonts w:ascii="Tahoma" w:hAnsi="Tahoma" w:cs="Tahoma"/>
          <w:color w:val="auto"/>
          <w:sz w:val="20"/>
          <w:szCs w:val="20"/>
        </w:rPr>
        <w:t>5</w:t>
      </w:r>
      <w:r w:rsidRPr="00D03140">
        <w:rPr>
          <w:rFonts w:ascii="Tahoma" w:hAnsi="Tahoma" w:cs="Tahoma"/>
          <w:color w:val="auto"/>
          <w:sz w:val="20"/>
          <w:szCs w:val="20"/>
        </w:rPr>
        <w:t>.3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:rsidR="0049115A" w:rsidRPr="00D03140" w:rsidRDefault="0049115A" w:rsidP="0028107E">
      <w:pPr>
        <w:pStyle w:val="txt"/>
        <w:numPr>
          <w:ilvl w:val="2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</w:t>
      </w:r>
      <w:r>
        <w:rPr>
          <w:rFonts w:ascii="Tahoma" w:hAnsi="Tahoma" w:cs="Tahoma"/>
          <w:color w:val="auto"/>
          <w:sz w:val="20"/>
          <w:szCs w:val="20"/>
        </w:rPr>
        <w:t>5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.3 Тарифов). </w:t>
      </w:r>
    </w:p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одной или обеих Программах путем направления Бирже заявления в форме электронного документа по Системе ЭДО или в бумажной форме. С даты получения Биржей указанного заявления Участник программы</w:t>
      </w:r>
      <w:r>
        <w:rPr>
          <w:rFonts w:ascii="Tahoma" w:hAnsi="Tahoma" w:cs="Tahoma"/>
          <w:color w:val="auto"/>
          <w:sz w:val="20"/>
          <w:szCs w:val="20"/>
        </w:rPr>
        <w:t>,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подавший его</w:t>
      </w:r>
      <w:r>
        <w:rPr>
          <w:rFonts w:ascii="Tahoma" w:hAnsi="Tahoma" w:cs="Tahoma"/>
          <w:color w:val="auto"/>
          <w:sz w:val="20"/>
          <w:szCs w:val="20"/>
        </w:rPr>
        <w:t>,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исключается из состава Участников программы.</w:t>
      </w:r>
    </w:p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:rsidR="0049115A" w:rsidRPr="00D03140" w:rsidRDefault="0049115A" w:rsidP="0028107E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 изменять параметры Программ. </w:t>
      </w:r>
    </w:p>
    <w:p w:rsidR="0049115A" w:rsidRPr="004444EB" w:rsidRDefault="0049115A" w:rsidP="0049115A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:rsidR="005C6097" w:rsidRDefault="005C6097">
      <w:bookmarkStart w:id="0" w:name="_GoBack"/>
      <w:bookmarkEnd w:id="0"/>
    </w:p>
    <w:sectPr w:rsidR="005C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7E" w:rsidRDefault="0028107E" w:rsidP="0049115A">
      <w:r>
        <w:separator/>
      </w:r>
    </w:p>
  </w:endnote>
  <w:endnote w:type="continuationSeparator" w:id="0">
    <w:p w:rsidR="0028107E" w:rsidRDefault="0028107E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49115A" w:rsidRPr="00DC017E" w:rsidRDefault="0049115A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49115A" w:rsidRDefault="004911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7E" w:rsidRDefault="0028107E" w:rsidP="0049115A">
      <w:r>
        <w:separator/>
      </w:r>
    </w:p>
  </w:footnote>
  <w:footnote w:type="continuationSeparator" w:id="0">
    <w:p w:rsidR="0028107E" w:rsidRDefault="0028107E" w:rsidP="0049115A">
      <w:r>
        <w:continuationSeparator/>
      </w:r>
    </w:p>
  </w:footnote>
  <w:footnote w:id="1">
    <w:p w:rsidR="0049115A" w:rsidRDefault="0049115A" w:rsidP="0049115A">
      <w:r>
        <w:rPr>
          <w:rStyle w:val="af1"/>
        </w:rPr>
        <w:footnoteRef/>
      </w:r>
      <w:r>
        <w:t xml:space="preserve"> для целей расчета учитывается 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15A" w:rsidRPr="007F77F0" w:rsidRDefault="0049115A" w:rsidP="00BD4536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:rsidR="0049115A" w:rsidRDefault="004911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3"/>
  </w:num>
  <w:num w:numId="9">
    <w:abstractNumId w:val="12"/>
  </w:num>
  <w:num w:numId="10">
    <w:abstractNumId w:val="15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A"/>
    <w:rsid w:val="0028107E"/>
    <w:rsid w:val="0049115A"/>
    <w:rsid w:val="005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Дюкель Олег Александрович</cp:lastModifiedBy>
  <cp:revision>1</cp:revision>
  <dcterms:created xsi:type="dcterms:W3CDTF">2018-12-28T15:02:00Z</dcterms:created>
  <dcterms:modified xsi:type="dcterms:W3CDTF">2018-12-28T15:03:00Z</dcterms:modified>
</cp:coreProperties>
</file>