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A8528" w14:textId="77777777" w:rsidR="0049115A" w:rsidRPr="00BD4536" w:rsidRDefault="00C91939" w:rsidP="0049115A">
      <w:pPr>
        <w:pStyle w:val="a3"/>
        <w:ind w:left="4820" w:right="-81"/>
        <w:jc w:val="right"/>
        <w:rPr>
          <w:rFonts w:ascii="Tahoma" w:hAnsi="Tahoma" w:cs="Tahoma"/>
          <w:bCs w:val="0"/>
        </w:rPr>
      </w:pPr>
      <w:r w:rsidRPr="00BD4536">
        <w:rPr>
          <w:rFonts w:ascii="Tahoma" w:hAnsi="Tahoma" w:cs="Tahoma"/>
          <w:bCs w:val="0"/>
        </w:rPr>
        <w:t>УТВЕРЖДЕНЫ</w:t>
      </w:r>
    </w:p>
    <w:p w14:paraId="7D4A8529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7D4A852A" w14:textId="77777777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7D4A852B" w14:textId="7A6877A4" w:rsidR="00685C8B" w:rsidRDefault="00C91939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A710BD">
        <w:rPr>
          <w:rFonts w:ascii="Tahoma" w:hAnsi="Tahoma" w:cs="Tahoma"/>
          <w:sz w:val="20"/>
          <w:szCs w:val="20"/>
        </w:rPr>
        <w:t xml:space="preserve">08 июня </w:t>
      </w:r>
      <w:r>
        <w:rPr>
          <w:rFonts w:ascii="Tahoma" w:hAnsi="Tahoma" w:cs="Tahoma"/>
          <w:sz w:val="20"/>
          <w:szCs w:val="20"/>
        </w:rPr>
        <w:t xml:space="preserve">2022 года (Протокол № </w:t>
      </w:r>
      <w:r w:rsidR="00A710B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</w:p>
    <w:p w14:paraId="7D4A852C" w14:textId="77777777" w:rsidR="0049115A" w:rsidRPr="00BD4536" w:rsidRDefault="00F86BE3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</w:p>
    <w:p w14:paraId="7D4A852D" w14:textId="77777777" w:rsidR="0049115A" w:rsidRPr="00BD4536" w:rsidRDefault="00F86BE3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E" w14:textId="77777777" w:rsidR="0049115A" w:rsidRPr="00BD4536" w:rsidRDefault="00F86BE3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7D4A852F" w14:textId="77777777" w:rsidR="0049115A" w:rsidRPr="00BD4536" w:rsidRDefault="00F86BE3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</w:rPr>
      </w:pPr>
    </w:p>
    <w:p w14:paraId="7D4A8530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proofErr w:type="gramStart"/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</w:t>
      </w:r>
      <w:proofErr w:type="gramEnd"/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Московская Биржа</w:t>
      </w:r>
    </w:p>
    <w:p w14:paraId="7D4A8531" w14:textId="77777777" w:rsidR="0049115A" w:rsidRPr="00893FB5" w:rsidRDefault="00C91939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D4A8532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7D4A8533" w14:textId="77777777" w:rsidR="0049115A" w:rsidRPr="00893FB5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7D4A8534" w14:textId="77777777" w:rsidR="0049115A" w:rsidRPr="00DF37A8" w:rsidRDefault="00C91939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953B83" w14:paraId="7D4A8538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7D4A8535" w14:textId="77777777" w:rsidR="0049115A" w:rsidRPr="00893FB5" w:rsidRDefault="00F86BE3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7D4A8536" w14:textId="77777777" w:rsidR="0049115A" w:rsidRPr="00B5557D" w:rsidRDefault="00C91939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7D4A8537" w14:textId="77777777" w:rsidR="0049115A" w:rsidRPr="00B5557D" w:rsidRDefault="00C91939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953B83" w14:paraId="7D4A853D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9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7D4A853A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7D4A853B" w14:textId="77777777" w:rsidR="0049115A" w:rsidRPr="00893FB5" w:rsidRDefault="00F86BE3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3C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953B83" w14:paraId="7D4A8542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3E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7D4A853F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7D4A8540" w14:textId="77777777" w:rsidR="0049115A" w:rsidRPr="00893FB5" w:rsidRDefault="00F86BE3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1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953B83" w14:paraId="7D4A8547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3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4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D4A8545" w14:textId="77777777" w:rsidR="0049115A" w:rsidRPr="00893FB5" w:rsidRDefault="00F86BE3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6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953B83" w14:paraId="7D4A854C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8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9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14:paraId="7D4A854A" w14:textId="77777777" w:rsidR="0049115A" w:rsidRPr="00893FB5" w:rsidRDefault="00F86BE3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4B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953B83" w14:paraId="7D4A8551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7D4A854D" w14:textId="77777777" w:rsidR="0049115A" w:rsidRPr="00893FB5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7D4A854E" w14:textId="77777777" w:rsidR="0049115A" w:rsidRDefault="00C91939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«Д2»</w:t>
            </w:r>
          </w:p>
          <w:p w14:paraId="7D4A854F" w14:textId="77777777" w:rsidR="0049115A" w:rsidRPr="00893FB5" w:rsidRDefault="00F86BE3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4A8550" w14:textId="77777777" w:rsidR="0049115A" w:rsidRPr="00893FB5" w:rsidRDefault="00C91939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7D4A8552" w14:textId="77777777" w:rsidR="0049115A" w:rsidRPr="00893FB5" w:rsidRDefault="00C91939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7D4A8553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7D4A8554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7D4A8555" w14:textId="77777777" w:rsidR="0049115A" w:rsidRDefault="00C91939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7D4A8556" w14:textId="77777777" w:rsidR="0049115A" w:rsidRDefault="00C91939" w:rsidP="00F17C7C">
      <w:pPr>
        <w:pStyle w:val="txt"/>
        <w:spacing w:before="240" w:beforeAutospacing="0" w:after="240" w:afterAutospacing="0"/>
        <w:ind w:left="1276" w:hanging="127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7D4A8557" w14:textId="77777777" w:rsidR="0049115A" w:rsidRPr="00AA5410" w:rsidRDefault="00C91939" w:rsidP="00F17C7C">
      <w:pPr>
        <w:spacing w:before="240" w:after="24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 xml:space="preserve">в соответствии с п.п. </w:t>
      </w:r>
      <w:r>
        <w:rPr>
          <w:rFonts w:ascii="Tahoma" w:hAnsi="Tahoma" w:cs="Tahoma"/>
          <w:sz w:val="20"/>
          <w:szCs w:val="20"/>
        </w:rPr>
        <w:t>2</w:t>
      </w:r>
      <w:r w:rsidRPr="00927781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2</w:t>
      </w:r>
      <w:r w:rsidRPr="00927781">
        <w:rPr>
          <w:rFonts w:ascii="Tahoma" w:hAnsi="Tahoma" w:cs="Tahoma"/>
          <w:sz w:val="20"/>
          <w:szCs w:val="20"/>
        </w:rPr>
        <w:t>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>по формуле</w:t>
      </w:r>
      <w:r>
        <w:rPr>
          <w:rFonts w:ascii="Tahoma" w:hAnsi="Tahoma" w:cs="Tahoma"/>
          <w:sz w:val="20"/>
          <w:szCs w:val="20"/>
        </w:rPr>
        <w:t xml:space="preserve"> (с учетом дополнительных условий согласно п.п. 2.3. настоящего раздела Тарифов)</w:t>
      </w:r>
      <w:r w:rsidRPr="00927781">
        <w:rPr>
          <w:rFonts w:ascii="Tahoma" w:hAnsi="Tahoma" w:cs="Tahoma"/>
          <w:sz w:val="20"/>
          <w:szCs w:val="20"/>
        </w:rPr>
        <w:t>:</w:t>
      </w:r>
      <w:r w:rsidRPr="0064644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D4A8558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7D4A8559" w14:textId="77777777" w:rsidR="0049115A" w:rsidRPr="00021403" w:rsidRDefault="00F86BE3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5A" w14:textId="77777777" w:rsidR="0049115A" w:rsidRPr="00021403" w:rsidRDefault="00C91939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(Бсбор + Ксбор</w:t>
      </w:r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7D4A855B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C" w14:textId="77777777" w:rsidR="0049115A" w:rsidRPr="00021403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Бсбор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D" w14:textId="77777777" w:rsidR="0049115A" w:rsidRDefault="00C91939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Ксбор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7D4A855E" w14:textId="77777777" w:rsidR="0049115A" w:rsidRPr="00021403" w:rsidRDefault="00F86BE3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7D4A855F" w14:textId="77777777" w:rsidR="0049115A" w:rsidRDefault="00C91939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Бсбор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Ксбор, уплаченных Участником торгов в течение календарного квартала, превышает 60 000 рублей,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D4A8560" w14:textId="77777777" w:rsidR="0049115A" w:rsidRDefault="00F86BE3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7D4A8561" w14:textId="77777777" w:rsidR="0049115A" w:rsidRPr="00927781" w:rsidRDefault="00C91939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 w:rsidRPr="00927781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7D4A8562" w14:textId="77777777" w:rsidR="0049115A" w:rsidRPr="00927781" w:rsidRDefault="00F86BE3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7D4A8563" w14:textId="77777777" w:rsidR="0049115A" w:rsidRPr="00927781" w:rsidRDefault="00C91939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АП = 60 000 руб. – Бсбор, где:</w:t>
      </w:r>
    </w:p>
    <w:p w14:paraId="7D4A8564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D4A8565" w14:textId="77777777" w:rsidR="0049115A" w:rsidRPr="00927781" w:rsidRDefault="00C91939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Бсбор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7D4A8566" w14:textId="77777777" w:rsidR="0049115A" w:rsidRPr="00021403" w:rsidRDefault="00C91939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Бсбор, уплаченного Участником торгов в течение календарного квартала, превышает 60 000 рублей, Абонентская плата не взимается. </w:t>
      </w:r>
    </w:p>
    <w:p w14:paraId="7D4A8567" w14:textId="77777777" w:rsidR="0049115A" w:rsidRPr="00884D6B" w:rsidRDefault="00C91939" w:rsidP="0049115A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2.3.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7D4A8568" w14:textId="77777777" w:rsidR="0049115A" w:rsidRPr="00893FB5" w:rsidRDefault="00C91939" w:rsidP="00884D6B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7D4A8569" w14:textId="77777777" w:rsidR="0049115A" w:rsidRPr="004C2F10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7D4A856A" w14:textId="77777777" w:rsidR="0049115A" w:rsidRPr="00893FB5" w:rsidRDefault="00C91939" w:rsidP="00884D6B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14:paraId="7D4A856B" w14:textId="77777777" w:rsidR="0049115A" w:rsidRPr="004A3012" w:rsidRDefault="00C91939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сроки, установленные Правилами клиринга, либо посредством выставления счета. </w:t>
      </w:r>
      <w:r w:rsidRPr="004A3012">
        <w:rPr>
          <w:rFonts w:ascii="Tahoma" w:hAnsi="Tahoma" w:cs="Tahoma"/>
          <w:sz w:val="20"/>
          <w:szCs w:val="20"/>
        </w:rPr>
        <w:t>С</w:t>
      </w:r>
      <w:r w:rsidRPr="00533A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 xml:space="preserve">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7D4A856C" w14:textId="77777777" w:rsidR="0049115A" w:rsidRPr="00893FB5" w:rsidRDefault="00F86BE3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7D4A856D" w14:textId="77777777" w:rsidR="00AC2D16" w:rsidRDefault="00C91939" w:rsidP="00F17C7C">
      <w:pPr>
        <w:pStyle w:val="a5"/>
        <w:spacing w:before="120" w:beforeAutospacing="0" w:after="12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550073">
        <w:rPr>
          <w:rFonts w:ascii="Tahoma" w:hAnsi="Tahoma" w:cs="Tahoma"/>
          <w:b/>
          <w:bCs/>
          <w:sz w:val="20"/>
          <w:szCs w:val="20"/>
        </w:rPr>
        <w:lastRenderedPageBreak/>
        <w:t xml:space="preserve">РАЗДЕЛ </w:t>
      </w:r>
      <w:r w:rsidRPr="00157D7A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157D7A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14:paraId="7D4A856E" w14:textId="77777777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426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7D4A856F" w14:textId="77777777" w:rsidR="0049115A" w:rsidRPr="00C84FDA" w:rsidRDefault="00C91939" w:rsidP="00C84FD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84FDA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</w:t>
      </w:r>
      <w:r>
        <w:rPr>
          <w:rFonts w:ascii="Tahoma" w:hAnsi="Tahoma" w:cs="Tahoma"/>
          <w:sz w:val="20"/>
          <w:szCs w:val="20"/>
        </w:rPr>
        <w:t xml:space="preserve"> адресных заявок или</w:t>
      </w:r>
      <w:r w:rsidRPr="00C84FDA">
        <w:rPr>
          <w:rFonts w:ascii="Tahoma" w:hAnsi="Tahoma" w:cs="Tahoma"/>
          <w:sz w:val="20"/>
          <w:szCs w:val="20"/>
        </w:rPr>
        <w:t xml:space="preserve"> безадресных заявок</w:t>
      </w:r>
      <w:r>
        <w:rPr>
          <w:rFonts w:ascii="Tahoma" w:hAnsi="Tahoma" w:cs="Tahoma"/>
          <w:sz w:val="20"/>
          <w:szCs w:val="20"/>
        </w:rPr>
        <w:t>, за исключением сделок на основании безадресных заявок</w:t>
      </w:r>
      <w:r>
        <w:t xml:space="preserve">, </w:t>
      </w:r>
      <w:r w:rsidRPr="00276706">
        <w:rPr>
          <w:rFonts w:ascii="Tahoma" w:hAnsi="Tahoma" w:cs="Tahoma"/>
          <w:sz w:val="20"/>
          <w:szCs w:val="20"/>
        </w:rPr>
        <w:t xml:space="preserve">зарегистрированных раньше, чем </w:t>
      </w:r>
      <w:r>
        <w:rPr>
          <w:rFonts w:ascii="Tahoma" w:hAnsi="Tahoma" w:cs="Tahoma"/>
          <w:sz w:val="20"/>
          <w:szCs w:val="20"/>
        </w:rPr>
        <w:t xml:space="preserve">соответствующая </w:t>
      </w:r>
      <w:r w:rsidRPr="00276706">
        <w:rPr>
          <w:rFonts w:ascii="Tahoma" w:hAnsi="Tahoma" w:cs="Tahoma"/>
          <w:sz w:val="20"/>
          <w:szCs w:val="20"/>
        </w:rPr>
        <w:t xml:space="preserve">допустимая встречная заявка </w:t>
      </w:r>
      <w:r w:rsidRPr="00C84FD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70" w14:textId="77777777" w:rsidR="0049115A" w:rsidRPr="00DC12D6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7D4A8571" w14:textId="77777777" w:rsidR="0049115A" w:rsidRPr="00830257" w:rsidRDefault="00C91939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 xml:space="preserve"> ≥</m:t>
          </m:r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7D4A8572" w14:textId="77777777" w:rsidR="0049115A" w:rsidRPr="00893FB5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953B83" w14:paraId="7D4A8575" w14:textId="77777777" w:rsidTr="00BD4FE4">
        <w:tc>
          <w:tcPr>
            <w:tcW w:w="1415" w:type="dxa"/>
            <w:vAlign w:val="center"/>
          </w:tcPr>
          <w:p w14:paraId="7D4A8573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7D4A8574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953B83" w14:paraId="7D4A8578" w14:textId="77777777" w:rsidTr="00BD4FE4">
        <w:tc>
          <w:tcPr>
            <w:tcW w:w="1415" w:type="dxa"/>
            <w:vAlign w:val="center"/>
          </w:tcPr>
          <w:p w14:paraId="7D4A8576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7D4A8577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953B83" w14:paraId="7D4A857B" w14:textId="77777777" w:rsidTr="00BD4FE4">
        <w:tc>
          <w:tcPr>
            <w:tcW w:w="1415" w:type="dxa"/>
            <w:vAlign w:val="center"/>
          </w:tcPr>
          <w:p w14:paraId="7D4A8579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7D4A857A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953B83" w14:paraId="7D4A857E" w14:textId="77777777" w:rsidTr="00BD4FE4">
        <w:tc>
          <w:tcPr>
            <w:tcW w:w="1415" w:type="dxa"/>
            <w:vAlign w:val="center"/>
          </w:tcPr>
          <w:p w14:paraId="7D4A857C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7D4A857D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953B83" w14:paraId="7D4A8581" w14:textId="77777777" w:rsidTr="00BD4FE4">
        <w:tc>
          <w:tcPr>
            <w:tcW w:w="1415" w:type="dxa"/>
            <w:vAlign w:val="center"/>
          </w:tcPr>
          <w:p w14:paraId="7D4A857F" w14:textId="77777777" w:rsidR="0049115A" w:rsidRPr="00DC12D6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D4A8580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84" w14:textId="77777777" w:rsidTr="00BD4FE4">
        <w:tc>
          <w:tcPr>
            <w:tcW w:w="1415" w:type="dxa"/>
            <w:vAlign w:val="center"/>
          </w:tcPr>
          <w:p w14:paraId="7D4A8582" w14:textId="77777777" w:rsidR="000A0E04" w:rsidRDefault="00C91939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7D4A8583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D4A8587" w14:textId="77777777" w:rsidTr="00BD4FE4">
        <w:tc>
          <w:tcPr>
            <w:tcW w:w="1415" w:type="dxa"/>
            <w:vAlign w:val="center"/>
          </w:tcPr>
          <w:p w14:paraId="7D4A8585" w14:textId="77777777" w:rsidR="000A0E04" w:rsidRPr="00DC12D6" w:rsidRDefault="00C91939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w:bookmarkStart w:id="0" w:name="_Hlk101210834"/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7D4A8586" w14:textId="77777777" w:rsidR="000A0E04" w:rsidRPr="00893FB5" w:rsidRDefault="00C91939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к которой относится данный фьючерс (далее – Группа контрактов) </w:t>
            </w:r>
          </w:p>
        </w:tc>
      </w:tr>
      <w:bookmarkEnd w:id="0"/>
    </w:tbl>
    <w:p w14:paraId="7D4A8588" w14:textId="77777777" w:rsidR="00830257" w:rsidRDefault="00F86BE3" w:rsidP="00CE67B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89" w14:textId="77777777" w:rsidR="00B87C17" w:rsidRPr="00484554" w:rsidRDefault="00C91939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</w:rPr>
        <w:t>где базовые ставки (</w:t>
      </w:r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r w:rsidRPr="00CE67BA">
        <w:rPr>
          <w:rFonts w:ascii="Tahoma" w:hAnsi="Tahoma" w:cs="Tahoma"/>
          <w:b/>
          <w:sz w:val="20"/>
          <w:szCs w:val="20"/>
        </w:rPr>
        <w:t>)</w:t>
      </w:r>
      <w:r>
        <w:rPr>
          <w:rFonts w:ascii="Tahoma" w:hAnsi="Tahoma" w:cs="Tahoma"/>
          <w:b/>
          <w:sz w:val="20"/>
          <w:szCs w:val="20"/>
          <w:lang w:val="en-US"/>
        </w:rPr>
        <w:t>:</w:t>
      </w:r>
    </w:p>
    <w:p w14:paraId="7D4A858A" w14:textId="77777777" w:rsidR="00B87C17" w:rsidRDefault="00F86BE3" w:rsidP="00B87C1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953B83" w14:paraId="7D4A858F" w14:textId="77777777" w:rsidTr="003D1C8C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7D4A858B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7D4A858C" w14:textId="77777777" w:rsidR="006B3324" w:rsidRPr="00D03140" w:rsidRDefault="00C91939" w:rsidP="00191508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7D4A858D" w14:textId="77777777" w:rsidR="006B3324" w:rsidRPr="00B87C17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7D4A858E" w14:textId="77777777" w:rsidR="006B3324" w:rsidRPr="00D03140" w:rsidRDefault="00C91939" w:rsidP="00B87C1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(BaseFutFee)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953B83" w14:paraId="7D4A8595" w14:textId="77777777" w:rsidTr="003D1C8C">
        <w:trPr>
          <w:trHeight w:val="630"/>
        </w:trPr>
        <w:tc>
          <w:tcPr>
            <w:tcW w:w="968" w:type="dxa"/>
            <w:vAlign w:val="center"/>
          </w:tcPr>
          <w:p w14:paraId="7D4A859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2863" w:type="dxa"/>
          </w:tcPr>
          <w:p w14:paraId="7D4A8592" w14:textId="77777777" w:rsidR="003D1C8C" w:rsidRDefault="00F86BE3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14:paraId="7D4A8593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0885</w:t>
            </w:r>
          </w:p>
        </w:tc>
        <w:tc>
          <w:tcPr>
            <w:tcW w:w="3233" w:type="dxa"/>
            <w:vAlign w:val="center"/>
          </w:tcPr>
          <w:p w14:paraId="7D4A8594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0,002655</w:t>
            </w:r>
          </w:p>
        </w:tc>
      </w:tr>
      <w:tr w:rsidR="00953B83" w14:paraId="7D4A859A" w14:textId="77777777" w:rsidTr="003D1C8C">
        <w:trPr>
          <w:trHeight w:val="472"/>
        </w:trPr>
        <w:tc>
          <w:tcPr>
            <w:tcW w:w="968" w:type="dxa"/>
            <w:vAlign w:val="center"/>
          </w:tcPr>
          <w:p w14:paraId="7D4A859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7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2863" w:type="dxa"/>
          </w:tcPr>
          <w:p w14:paraId="7D4A859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3162</w:t>
            </w:r>
          </w:p>
        </w:tc>
        <w:tc>
          <w:tcPr>
            <w:tcW w:w="3233" w:type="dxa"/>
            <w:vAlign w:val="center"/>
          </w:tcPr>
          <w:p w14:paraId="7D4A8599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0,009486</w:t>
            </w:r>
          </w:p>
        </w:tc>
      </w:tr>
      <w:tr w:rsidR="00953B83" w14:paraId="7D4A859F" w14:textId="77777777" w:rsidTr="003D1C8C">
        <w:trPr>
          <w:trHeight w:val="314"/>
        </w:trPr>
        <w:tc>
          <w:tcPr>
            <w:tcW w:w="968" w:type="dxa"/>
            <w:vAlign w:val="center"/>
          </w:tcPr>
          <w:p w14:paraId="7D4A859B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9C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2863" w:type="dxa"/>
          </w:tcPr>
          <w:p w14:paraId="7D4A859D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03795</w:t>
            </w:r>
          </w:p>
        </w:tc>
        <w:tc>
          <w:tcPr>
            <w:tcW w:w="3233" w:type="dxa"/>
            <w:vAlign w:val="center"/>
          </w:tcPr>
          <w:p w14:paraId="7D4A859E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0,011385</w:t>
            </w:r>
          </w:p>
        </w:tc>
      </w:tr>
      <w:tr w:rsidR="00953B83" w14:paraId="7D4A85A4" w14:textId="77777777" w:rsidTr="003D1C8C">
        <w:trPr>
          <w:trHeight w:val="472"/>
        </w:trPr>
        <w:tc>
          <w:tcPr>
            <w:tcW w:w="968" w:type="dxa"/>
            <w:vAlign w:val="center"/>
          </w:tcPr>
          <w:p w14:paraId="7D4A85A0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1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2863" w:type="dxa"/>
          </w:tcPr>
          <w:p w14:paraId="7D4A85A2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1265</w:t>
            </w:r>
          </w:p>
        </w:tc>
        <w:tc>
          <w:tcPr>
            <w:tcW w:w="3233" w:type="dxa"/>
            <w:vAlign w:val="center"/>
          </w:tcPr>
          <w:p w14:paraId="7D4A85A3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953B83" w14:paraId="7D4A85A9" w14:textId="77777777" w:rsidTr="003D1C8C">
        <w:trPr>
          <w:trHeight w:val="472"/>
        </w:trPr>
        <w:tc>
          <w:tcPr>
            <w:tcW w:w="968" w:type="dxa"/>
            <w:vAlign w:val="center"/>
          </w:tcPr>
          <w:p w14:paraId="7D4A85A5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7D4A85A6" w14:textId="77777777" w:rsidR="006B3324" w:rsidRPr="00D03140" w:rsidRDefault="00C91939" w:rsidP="006B332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2863" w:type="dxa"/>
          </w:tcPr>
          <w:p w14:paraId="7D4A85A7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2530</w:t>
            </w:r>
          </w:p>
        </w:tc>
        <w:tc>
          <w:tcPr>
            <w:tcW w:w="3233" w:type="dxa"/>
            <w:vAlign w:val="center"/>
          </w:tcPr>
          <w:p w14:paraId="7D4A85A8" w14:textId="77777777" w:rsidR="006B3324" w:rsidRDefault="00C91939" w:rsidP="006B332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0,007590</w:t>
            </w:r>
          </w:p>
        </w:tc>
      </w:tr>
    </w:tbl>
    <w:p w14:paraId="7D4A85AA" w14:textId="77777777" w:rsidR="00767E8A" w:rsidRDefault="00F86BE3" w:rsidP="006F312C">
      <w:pPr>
        <w:rPr>
          <w:rFonts w:ascii="Tahoma" w:hAnsi="Tahoma" w:cs="Tahoma"/>
          <w:bCs/>
          <w:sz w:val="20"/>
          <w:szCs w:val="20"/>
        </w:rPr>
      </w:pPr>
    </w:p>
    <w:p w14:paraId="7D4A85AB" w14:textId="77777777" w:rsidR="006F312C" w:rsidRPr="006F312C" w:rsidRDefault="00C91939" w:rsidP="006F312C">
      <w:pPr>
        <w:rPr>
          <w:rFonts w:ascii="Tahoma" w:hAnsi="Tahoma" w:cs="Tahoma"/>
          <w:bCs/>
          <w:sz w:val="20"/>
          <w:szCs w:val="20"/>
        </w:rPr>
      </w:pPr>
      <w:r w:rsidRPr="006F312C">
        <w:rPr>
          <w:rFonts w:ascii="Tahoma" w:hAnsi="Tahoma" w:cs="Tahoma"/>
          <w:bCs/>
          <w:sz w:val="20"/>
          <w:szCs w:val="20"/>
        </w:rPr>
        <w:t>Перечень конкретных (базисных) активов в рамках каждой Группы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7D4A85AC" w14:textId="69B43EDB" w:rsidR="00B87C17" w:rsidRDefault="00F86BE3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42DC427B" w14:textId="77777777" w:rsidR="00A710BD" w:rsidRPr="00B87C17" w:rsidRDefault="00A710BD" w:rsidP="00CE67B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7D4A85AD" w14:textId="77777777" w:rsidR="0049115A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lastRenderedPageBreak/>
        <w:t>Биржевой сбор за заключение маржируемых опционных контрактов</w:t>
      </w:r>
      <w:r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за исключением </w:t>
      </w:r>
      <w:r>
        <w:rPr>
          <w:rFonts w:ascii="Tahoma" w:hAnsi="Tahoma" w:cs="Tahoma"/>
          <w:b/>
          <w:color w:val="auto"/>
          <w:sz w:val="20"/>
          <w:szCs w:val="20"/>
        </w:rPr>
        <w:t>биржевого сбора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по опционным контрактам, базисным активом которых являются ценные бумаги</w:t>
      </w:r>
    </w:p>
    <w:p w14:paraId="7D4A85AE" w14:textId="16EF4A3E" w:rsidR="0049115A" w:rsidRPr="00CE67BA" w:rsidRDefault="00C91939" w:rsidP="00CE67B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7BA">
        <w:rPr>
          <w:rFonts w:ascii="Tahoma" w:hAnsi="Tahoma" w:cs="Tahoma"/>
          <w:sz w:val="20"/>
          <w:szCs w:val="20"/>
        </w:rPr>
        <w:t xml:space="preserve">Величина биржевого сбора за заключение маржируемых опционных контрактов (далее – опционы) на основании </w:t>
      </w:r>
      <w:r>
        <w:rPr>
          <w:rFonts w:ascii="Tahoma" w:hAnsi="Tahoma" w:cs="Tahoma"/>
          <w:sz w:val="20"/>
          <w:szCs w:val="20"/>
        </w:rPr>
        <w:t xml:space="preserve">адресных или </w:t>
      </w:r>
      <w:r w:rsidRPr="00CE67BA">
        <w:rPr>
          <w:rFonts w:ascii="Tahoma" w:hAnsi="Tahoma" w:cs="Tahoma"/>
          <w:sz w:val="20"/>
          <w:szCs w:val="20"/>
        </w:rPr>
        <w:t>безадресных</w:t>
      </w:r>
      <w:r>
        <w:rPr>
          <w:rFonts w:ascii="Tahoma" w:hAnsi="Tahoma" w:cs="Tahoma"/>
          <w:sz w:val="20"/>
          <w:szCs w:val="20"/>
        </w:rPr>
        <w:t xml:space="preserve"> заявок,</w:t>
      </w:r>
      <w:r w:rsidRPr="003276B2">
        <w:t xml:space="preserve"> </w:t>
      </w:r>
      <w:r w:rsidRPr="003276B2">
        <w:rPr>
          <w:rFonts w:ascii="Tahoma" w:hAnsi="Tahoma" w:cs="Tahoma"/>
          <w:sz w:val="20"/>
          <w:szCs w:val="20"/>
        </w:rPr>
        <w:t>за исключением сделок</w:t>
      </w:r>
      <w:r>
        <w:rPr>
          <w:rFonts w:ascii="Tahoma" w:hAnsi="Tahoma" w:cs="Tahoma"/>
          <w:sz w:val="20"/>
          <w:szCs w:val="20"/>
        </w:rPr>
        <w:t>, заключенных</w:t>
      </w:r>
      <w:r w:rsidRPr="003276B2">
        <w:rPr>
          <w:rFonts w:ascii="Tahoma" w:hAnsi="Tahoma" w:cs="Tahoma"/>
          <w:sz w:val="20"/>
          <w:szCs w:val="20"/>
        </w:rPr>
        <w:t xml:space="preserve"> на основании безадресных заявок</w:t>
      </w:r>
      <w:r>
        <w:rPr>
          <w:rFonts w:ascii="Tahoma" w:hAnsi="Tahoma" w:cs="Tahoma"/>
          <w:sz w:val="20"/>
          <w:szCs w:val="20"/>
        </w:rPr>
        <w:t xml:space="preserve">, </w:t>
      </w:r>
      <w:r w:rsidRPr="00276706">
        <w:rPr>
          <w:rFonts w:ascii="Tahoma" w:hAnsi="Tahoma" w:cs="Tahoma"/>
          <w:sz w:val="20"/>
          <w:szCs w:val="20"/>
        </w:rPr>
        <w:t>зарегистрированных раньше, чем</w:t>
      </w:r>
      <w:r>
        <w:rPr>
          <w:rFonts w:ascii="Tahoma" w:hAnsi="Tahoma" w:cs="Tahoma"/>
          <w:sz w:val="20"/>
          <w:szCs w:val="20"/>
        </w:rPr>
        <w:t xml:space="preserve"> соответствующая</w:t>
      </w:r>
      <w:r w:rsidRPr="00276706">
        <w:rPr>
          <w:rFonts w:ascii="Tahoma" w:hAnsi="Tahoma" w:cs="Tahoma"/>
          <w:sz w:val="20"/>
          <w:szCs w:val="20"/>
        </w:rPr>
        <w:t xml:space="preserve"> допустимая встречная </w:t>
      </w:r>
      <w:r>
        <w:rPr>
          <w:rFonts w:ascii="Tahoma" w:hAnsi="Tahoma" w:cs="Tahoma"/>
          <w:sz w:val="20"/>
          <w:szCs w:val="20"/>
        </w:rPr>
        <w:t xml:space="preserve">заявка, </w:t>
      </w:r>
      <w:r w:rsidRPr="00CE67B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7D4A85AF" w14:textId="77777777" w:rsidR="0049115A" w:rsidRPr="00DC12D6" w:rsidRDefault="00C91939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w:bookmarkStart w:id="1" w:name="_Hlk101211621"/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  <w:bookmarkEnd w:id="1"/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7D4A85B0" w14:textId="77777777" w:rsidR="00F54384" w:rsidRPr="00F54384" w:rsidRDefault="00C91939" w:rsidP="0049115A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7D4A85B1" w14:textId="77777777" w:rsidR="0049115A" w:rsidRPr="00F54384" w:rsidRDefault="00C91939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B4" w14:textId="77777777" w:rsidTr="00BD4FE4">
        <w:tc>
          <w:tcPr>
            <w:tcW w:w="2215" w:type="dxa"/>
            <w:vAlign w:val="center"/>
          </w:tcPr>
          <w:p w14:paraId="7D4A85B2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D4A85B3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953B83" w14:paraId="7D4A85B7" w14:textId="77777777" w:rsidTr="00BD4FE4">
        <w:tc>
          <w:tcPr>
            <w:tcW w:w="2215" w:type="dxa"/>
            <w:vAlign w:val="center"/>
          </w:tcPr>
          <w:p w14:paraId="7D4A85B5" w14:textId="77777777" w:rsidR="0049115A" w:rsidRPr="00DC12D6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7D4A85B6" w14:textId="77777777" w:rsidR="0049115A" w:rsidRPr="00893FB5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активом опциона, определяемая в соответствии с пунктом 3.1 Тарифов (в российских рублях);</w:t>
            </w:r>
          </w:p>
        </w:tc>
      </w:tr>
      <w:tr w:rsidR="00953B83" w14:paraId="7D4A85BA" w14:textId="77777777" w:rsidTr="00BD4FE4">
        <w:tc>
          <w:tcPr>
            <w:tcW w:w="2215" w:type="dxa"/>
            <w:vAlign w:val="center"/>
          </w:tcPr>
          <w:p w14:paraId="7D4A85B8" w14:textId="77777777" w:rsidR="0049115A" w:rsidRPr="00D03140" w:rsidRDefault="00C91939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D4A85B9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953B83" w14:paraId="7D4A85BD" w14:textId="77777777" w:rsidTr="00BD4FE4">
        <w:tc>
          <w:tcPr>
            <w:tcW w:w="2215" w:type="dxa"/>
            <w:vAlign w:val="center"/>
          </w:tcPr>
          <w:p w14:paraId="7D4A85BB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7D4A85BC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953B83" w14:paraId="7D4A85C0" w14:textId="77777777" w:rsidTr="00BD4FE4">
        <w:tc>
          <w:tcPr>
            <w:tcW w:w="2215" w:type="dxa"/>
            <w:vAlign w:val="center"/>
          </w:tcPr>
          <w:p w14:paraId="7D4A85BE" w14:textId="77777777" w:rsidR="0049115A" w:rsidRPr="00D03140" w:rsidRDefault="00C91939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7D4A85BF" w14:textId="77777777" w:rsidR="0049115A" w:rsidRPr="00D03140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7D4A85C3" w14:textId="77777777" w:rsidTr="00BD4FE4">
        <w:tc>
          <w:tcPr>
            <w:tcW w:w="2215" w:type="dxa"/>
            <w:vAlign w:val="center"/>
          </w:tcPr>
          <w:p w14:paraId="7D4A85C1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7D4A85C2" w14:textId="77777777" w:rsidR="0049115A" w:rsidRPr="00B70C74" w:rsidRDefault="00C91939" w:rsidP="00DA5A29">
            <w:pPr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2 </w:t>
            </w:r>
          </w:p>
        </w:tc>
      </w:tr>
      <w:tr w:rsidR="00953B83" w14:paraId="7D4A85C6" w14:textId="77777777" w:rsidTr="00BD4FE4">
        <w:tc>
          <w:tcPr>
            <w:tcW w:w="2215" w:type="dxa"/>
            <w:vAlign w:val="center"/>
          </w:tcPr>
          <w:p w14:paraId="7D4A85C4" w14:textId="77777777" w:rsidR="0049115A" w:rsidRPr="00D03140" w:rsidRDefault="00C91939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7D4A85C5" w14:textId="77777777" w:rsidR="0049115A" w:rsidRPr="00637CEF" w:rsidRDefault="00C91939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3.5.4 – 3.5.5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953B83" w14:paraId="7D4A85C9" w14:textId="77777777" w:rsidTr="00F17C7C">
        <w:trPr>
          <w:trHeight w:val="339"/>
        </w:trPr>
        <w:tc>
          <w:tcPr>
            <w:tcW w:w="2215" w:type="dxa"/>
          </w:tcPr>
          <w:p w14:paraId="7D4A85C7" w14:textId="77777777" w:rsidR="0049115A" w:rsidRPr="00D03140" w:rsidRDefault="00C91939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7D4A85C8" w14:textId="77777777" w:rsidR="0049115A" w:rsidRPr="00555847" w:rsidRDefault="00C91939">
            <w:pPr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7CEF">
              <w:rPr>
                <w:rFonts w:ascii="Tahoma" w:hAnsi="Tahoma" w:cs="Tahoma"/>
                <w:sz w:val="20"/>
                <w:szCs w:val="20"/>
              </w:rPr>
              <w:t xml:space="preserve">0,06325 </w:t>
            </w:r>
          </w:p>
        </w:tc>
      </w:tr>
    </w:tbl>
    <w:p w14:paraId="7D4A85CA" w14:textId="77777777" w:rsidR="00153288" w:rsidRPr="00C84FDA" w:rsidRDefault="00F86BE3" w:rsidP="00C84FDA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5CB" w14:textId="77777777" w:rsidR="00DF7B9D" w:rsidRPr="00893FB5" w:rsidRDefault="00C91939" w:rsidP="00F17C7C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>, базисным активом которых являются ценные бумаги</w:t>
      </w:r>
    </w:p>
    <w:p w14:paraId="7D4A85CC" w14:textId="77777777" w:rsidR="00BF7452" w:rsidRPr="003276B2" w:rsidRDefault="00C91939" w:rsidP="003276B2">
      <w:pPr>
        <w:spacing w:before="120"/>
        <w:jc w:val="both"/>
      </w:pPr>
      <w:r w:rsidRPr="003276B2">
        <w:t xml:space="preserve">Величина биржевого сбора за заключение опционных контрактов на основании </w:t>
      </w:r>
      <w:r>
        <w:t xml:space="preserve">адресных или </w:t>
      </w:r>
      <w:r w:rsidRPr="003276B2">
        <w:t>безадресных</w:t>
      </w:r>
      <w:r>
        <w:t xml:space="preserve"> заявок, </w:t>
      </w:r>
      <w:r w:rsidRPr="003276B2">
        <w:t>за исключением сделок на основании безадресных заявок</w:t>
      </w:r>
      <w:r>
        <w:t>,</w:t>
      </w:r>
      <w:r w:rsidRPr="00276706">
        <w:t xml:space="preserve"> зарегистрированных раньше, чем</w:t>
      </w:r>
      <w:r>
        <w:t xml:space="preserve"> соответствующая</w:t>
      </w:r>
      <w:r w:rsidRPr="00276706">
        <w:t xml:space="preserve"> допустимая встречная </w:t>
      </w:r>
      <w:r>
        <w:t xml:space="preserve">заявка, </w:t>
      </w:r>
      <w:r w:rsidRPr="003276B2">
        <w:t>рассчитывается по следующей формуле:</w:t>
      </w:r>
    </w:p>
    <w:p w14:paraId="7D4A85CD" w14:textId="77777777" w:rsidR="00DF7B9D" w:rsidRPr="009467D0" w:rsidRDefault="00C91939" w:rsidP="00DF7B9D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OptEqFee=Round</m:t>
          </m:r>
          <m:d>
            <m:dPr>
              <m:ctrlPr>
                <w:rPr>
                  <w:rFonts w:ascii="Cambria Math" w:hAnsi="Cambria Math" w:cs="Tahoma"/>
                  <w:b/>
                  <w:sz w:val="18"/>
                  <w:szCs w:val="18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8"/>
                  <w:szCs w:val="18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8"/>
                      <w:szCs w:val="1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K*PriceStockRub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8"/>
                      <w:szCs w:val="18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8"/>
                          <w:szCs w:val="18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8"/>
                              <w:szCs w:val="1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8"/>
                                  <w:szCs w:val="18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8"/>
                                      <w:szCs w:val="18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8"/>
                                  <w:szCs w:val="18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8"/>
                                      <w:szCs w:val="1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8"/>
                                      <w:szCs w:val="18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8"/>
                              <w:szCs w:val="18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8"/>
                          <w:szCs w:val="18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8"/>
                      <w:szCs w:val="18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8"/>
                  <w:szCs w:val="18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,</m:t>
          </m:r>
        </m:oMath>
      </m:oMathPara>
    </w:p>
    <w:p w14:paraId="7D4A85CE" w14:textId="77777777" w:rsidR="00DF7B9D" w:rsidRPr="00DC12D6" w:rsidRDefault="00C91939" w:rsidP="00DF7B9D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OptEqFee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7D4A85CF" w14:textId="77777777" w:rsidR="00DF7B9D" w:rsidRPr="009467D0" w:rsidRDefault="00C91939" w:rsidP="009467D0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7D4A85D2" w14:textId="77777777" w:rsidTr="006316BC">
        <w:tc>
          <w:tcPr>
            <w:tcW w:w="2215" w:type="dxa"/>
            <w:vAlign w:val="center"/>
          </w:tcPr>
          <w:p w14:paraId="7D4A85D0" w14:textId="77777777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OptEqFee</w:t>
            </w:r>
          </w:p>
        </w:tc>
        <w:tc>
          <w:tcPr>
            <w:tcW w:w="7254" w:type="dxa"/>
          </w:tcPr>
          <w:p w14:paraId="7D4A85D1" w14:textId="77777777" w:rsidR="00DF7B9D" w:rsidRPr="00893FB5" w:rsidRDefault="00C91939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Pr="00DF7B9D">
              <w:rPr>
                <w:rFonts w:ascii="Tahoma" w:hAnsi="Tahoma" w:cs="Tahoma"/>
                <w:sz w:val="20"/>
                <w:szCs w:val="20"/>
              </w:rPr>
              <w:t>, базисным активом которых являются ценные бумаги (в российских рублях),</w:t>
            </w:r>
          </w:p>
        </w:tc>
      </w:tr>
      <w:tr w:rsidR="00953B83" w14:paraId="7D4A85D5" w14:textId="77777777" w:rsidTr="006316BC">
        <w:tc>
          <w:tcPr>
            <w:tcW w:w="2215" w:type="dxa"/>
            <w:vAlign w:val="center"/>
          </w:tcPr>
          <w:p w14:paraId="7D4A85D3" w14:textId="77777777" w:rsidR="00DF7B9D" w:rsidRPr="00263281" w:rsidRDefault="00C91939" w:rsidP="006316BC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PriceStoсkRub</w:t>
            </w:r>
          </w:p>
        </w:tc>
        <w:tc>
          <w:tcPr>
            <w:tcW w:w="7254" w:type="dxa"/>
          </w:tcPr>
          <w:p w14:paraId="7D4A85D4" w14:textId="77777777" w:rsidR="00DF7B9D" w:rsidRPr="00893FB5" w:rsidRDefault="00C91939" w:rsidP="006316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цена акции, номинированной в российских рублях, определенная в Аукцион закрытия;</w:t>
            </w:r>
          </w:p>
        </w:tc>
      </w:tr>
      <w:tr w:rsidR="00953B83" w14:paraId="7D4A85D8" w14:textId="77777777" w:rsidTr="006316BC">
        <w:tc>
          <w:tcPr>
            <w:tcW w:w="2215" w:type="dxa"/>
            <w:vAlign w:val="center"/>
          </w:tcPr>
          <w:p w14:paraId="7D4A85D6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W(o)</w:t>
            </w:r>
          </w:p>
        </w:tc>
        <w:tc>
          <w:tcPr>
            <w:tcW w:w="7254" w:type="dxa"/>
          </w:tcPr>
          <w:p w14:paraId="7D4A85D7" w14:textId="77777777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контракта, базисным активом которого являются ценные бумаги, определяемая в соответствии со Спецификацией соответствующего опционного контракта (в российских рублях),</w:t>
            </w:r>
          </w:p>
        </w:tc>
      </w:tr>
      <w:tr w:rsidR="00953B83" w14:paraId="7D4A85DB" w14:textId="77777777" w:rsidTr="006316BC">
        <w:tc>
          <w:tcPr>
            <w:tcW w:w="2215" w:type="dxa"/>
            <w:vAlign w:val="center"/>
          </w:tcPr>
          <w:p w14:paraId="7D4A85D9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7D4A85DA" w14:textId="7777777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контракта, базисным активом которого являются ценные бумаги, определяемый в соответствии со Спецификацией соответствующего опционного контракта,</w:t>
            </w:r>
          </w:p>
        </w:tc>
      </w:tr>
      <w:tr w:rsidR="00953B83" w14:paraId="7D4A85DE" w14:textId="77777777" w:rsidTr="006316BC">
        <w:tc>
          <w:tcPr>
            <w:tcW w:w="2215" w:type="dxa"/>
            <w:vAlign w:val="center"/>
          </w:tcPr>
          <w:p w14:paraId="7D4A85DC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7D4A85DD" w14:textId="7777777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точностью,</w:t>
            </w:r>
          </w:p>
        </w:tc>
      </w:tr>
      <w:tr w:rsidR="00953B83" w14:paraId="7D4A85E3" w14:textId="77777777" w:rsidTr="006316BC">
        <w:tc>
          <w:tcPr>
            <w:tcW w:w="2215" w:type="dxa"/>
            <w:vAlign w:val="center"/>
          </w:tcPr>
          <w:p w14:paraId="7D4A85DF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K</w:t>
            </w:r>
          </w:p>
        </w:tc>
        <w:tc>
          <w:tcPr>
            <w:tcW w:w="7254" w:type="dxa"/>
          </w:tcPr>
          <w:p w14:paraId="7D4A85E0" w14:textId="77777777" w:rsidR="00555847" w:rsidRPr="00555847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коэффициент, </w:t>
            </w:r>
            <w:r w:rsidRPr="00F766BA">
              <w:rPr>
                <w:rFonts w:ascii="Tahoma" w:hAnsi="Tahoma" w:cs="Tahoma"/>
                <w:sz w:val="20"/>
                <w:szCs w:val="20"/>
              </w:rPr>
              <w:t>равный</w:t>
            </w:r>
            <w:r w:rsidRPr="00555847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7D4A85E1" w14:textId="77777777" w:rsidR="00555847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6BA">
              <w:rPr>
                <w:rFonts w:ascii="Tahoma" w:hAnsi="Tahoma" w:cs="Tahoma"/>
                <w:sz w:val="20"/>
                <w:szCs w:val="20"/>
              </w:rPr>
              <w:t>0,0</w:t>
            </w:r>
            <w:r w:rsidRPr="00555847">
              <w:rPr>
                <w:rFonts w:ascii="Tahoma" w:hAnsi="Tahoma" w:cs="Tahoma"/>
                <w:sz w:val="20"/>
                <w:szCs w:val="20"/>
              </w:rPr>
              <w:t>1</w:t>
            </w:r>
            <w:r w:rsidRPr="00F766BA">
              <w:rPr>
                <w:rFonts w:ascii="Tahoma" w:hAnsi="Tahoma" w:cs="Tahoma"/>
                <w:sz w:val="20"/>
                <w:szCs w:val="20"/>
              </w:rPr>
              <w:t>%</w:t>
            </w:r>
            <w:r w:rsidRPr="00555847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>по сделкам на основании адресных заявок</w:t>
            </w:r>
          </w:p>
          <w:p w14:paraId="7D4A85E2" w14:textId="77777777" w:rsidR="00DF7B9D" w:rsidRPr="00D03140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0,03% - по сделкам на основании безадресных заявок, </w:t>
            </w:r>
            <w:r w:rsidRPr="00276706">
              <w:rPr>
                <w:rFonts w:ascii="Tahoma" w:hAnsi="Tahoma" w:cs="Tahoma"/>
                <w:sz w:val="20"/>
                <w:szCs w:val="20"/>
              </w:rPr>
              <w:t xml:space="preserve">зарегистрированных </w:t>
            </w:r>
            <w:r>
              <w:rPr>
                <w:rFonts w:ascii="Tahoma" w:hAnsi="Tahoma" w:cs="Tahoma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sz w:val="20"/>
                <w:szCs w:val="20"/>
              </w:rPr>
              <w:t xml:space="preserve">, чем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соответствующая </w:t>
            </w:r>
            <w:r w:rsidRPr="00276706">
              <w:rPr>
                <w:rFonts w:ascii="Tahoma" w:hAnsi="Tahoma" w:cs="Tahoma"/>
                <w:sz w:val="20"/>
                <w:szCs w:val="20"/>
              </w:rPr>
              <w:t xml:space="preserve">допустимая встречная </w:t>
            </w:r>
            <w:r>
              <w:rPr>
                <w:rFonts w:ascii="Tahoma" w:hAnsi="Tahoma" w:cs="Tahoma"/>
                <w:sz w:val="20"/>
                <w:szCs w:val="20"/>
              </w:rPr>
              <w:t>заявка,</w:t>
            </w:r>
          </w:p>
        </w:tc>
      </w:tr>
      <w:tr w:rsidR="00953B83" w14:paraId="7D4A85E6" w14:textId="77777777" w:rsidTr="006316BC">
        <w:tc>
          <w:tcPr>
            <w:tcW w:w="2215" w:type="dxa"/>
            <w:vAlign w:val="center"/>
          </w:tcPr>
          <w:p w14:paraId="7D4A85E4" w14:textId="77777777" w:rsidR="00DF7B9D" w:rsidRPr="00263281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lastRenderedPageBreak/>
              <w:t>Premium</w:t>
            </w:r>
          </w:p>
        </w:tc>
        <w:tc>
          <w:tcPr>
            <w:tcW w:w="7254" w:type="dxa"/>
          </w:tcPr>
          <w:p w14:paraId="7D4A85E5" w14:textId="77777777" w:rsidR="00DF7B9D" w:rsidRPr="00260D2E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Premium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Биржей,</w:t>
            </w:r>
          </w:p>
        </w:tc>
      </w:tr>
      <w:tr w:rsidR="00953B83" w14:paraId="7D4A85E9" w14:textId="77777777" w:rsidTr="006316BC">
        <w:tc>
          <w:tcPr>
            <w:tcW w:w="2215" w:type="dxa"/>
            <w:vAlign w:val="center"/>
          </w:tcPr>
          <w:p w14:paraId="7D4A85E7" w14:textId="77777777" w:rsidR="00DF7B9D" w:rsidRPr="009467D0" w:rsidRDefault="00C91939" w:rsidP="00DF7B9D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7D4A85E8" w14:textId="77777777" w:rsidR="00DF7B9D" w:rsidRPr="003276B2" w:rsidRDefault="00C91939" w:rsidP="00DF7B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p w14:paraId="7D4A85EA" w14:textId="77777777" w:rsidR="00263281" w:rsidRDefault="00F86BE3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7D4A85EB" w14:textId="77777777" w:rsidR="00555847" w:rsidRDefault="00C91939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581523">
        <w:rPr>
          <w:rFonts w:ascii="Tahoma" w:hAnsi="Tahoma" w:cs="Tahoma"/>
          <w:color w:val="auto"/>
          <w:sz w:val="20"/>
          <w:szCs w:val="20"/>
        </w:rPr>
        <w:t>где базовые ставки (Base</w:t>
      </w:r>
      <w:r>
        <w:rPr>
          <w:rFonts w:ascii="Tahoma" w:hAnsi="Tahoma" w:cs="Tahoma"/>
          <w:color w:val="auto"/>
          <w:sz w:val="20"/>
          <w:szCs w:val="20"/>
          <w:lang w:val="en-US"/>
        </w:rPr>
        <w:t>Opt</w:t>
      </w:r>
      <w:r w:rsidRPr="00581523">
        <w:rPr>
          <w:rFonts w:ascii="Tahoma" w:hAnsi="Tahoma" w:cs="Tahoma"/>
          <w:color w:val="auto"/>
          <w:sz w:val="20"/>
          <w:szCs w:val="20"/>
        </w:rPr>
        <w:t>Fee):</w:t>
      </w:r>
    </w:p>
    <w:p w14:paraId="7D4A85EC" w14:textId="77777777" w:rsidR="00555847" w:rsidRDefault="00F86BE3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50"/>
        <w:gridCol w:w="3499"/>
        <w:gridCol w:w="3544"/>
      </w:tblGrid>
      <w:tr w:rsidR="00953B83" w14:paraId="7D4A85F0" w14:textId="77777777" w:rsidTr="0022369F">
        <w:tc>
          <w:tcPr>
            <w:tcW w:w="2450" w:type="dxa"/>
          </w:tcPr>
          <w:p w14:paraId="7D4A85ED" w14:textId="77777777" w:rsidR="00B05F51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>Группа контрактов</w:t>
            </w: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7D4A85EE" w14:textId="77777777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адресных заявок, взимаемая с каждой стороны по сделке, в процентах</w:t>
            </w:r>
          </w:p>
        </w:tc>
        <w:tc>
          <w:tcPr>
            <w:tcW w:w="3544" w:type="dxa"/>
          </w:tcPr>
          <w:p w14:paraId="7D4A85EF" w14:textId="27224B6C" w:rsidR="00B05F51" w:rsidRPr="00F17C7C" w:rsidRDefault="00C91939" w:rsidP="00B05F51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Fee) при заключении сделок на основании безадресных заявок, взимаемая по стороне сделки на основании заявки, зарегистрированной позже, чем соответствующая допустимая встречная заявка с номером, в процентах</w:t>
            </w:r>
          </w:p>
        </w:tc>
      </w:tr>
      <w:tr w:rsidR="00953B83" w14:paraId="7D4A85F4" w14:textId="77777777" w:rsidTr="0022369F">
        <w:tc>
          <w:tcPr>
            <w:tcW w:w="2450" w:type="dxa"/>
          </w:tcPr>
          <w:p w14:paraId="7D4A85F1" w14:textId="77777777" w:rsidR="0022369F" w:rsidRPr="0022369F" w:rsidRDefault="00C91939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и иностранных эмитентов, депозитарных расписок на акции</w:t>
            </w:r>
          </w:p>
        </w:tc>
        <w:tc>
          <w:tcPr>
            <w:tcW w:w="3499" w:type="dxa"/>
          </w:tcPr>
          <w:p w14:paraId="7D4A85F2" w14:textId="77777777" w:rsidR="0022369F" w:rsidRPr="00F17C7C" w:rsidRDefault="00C91939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1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,15</w:t>
            </w:r>
          </w:p>
        </w:tc>
        <w:tc>
          <w:tcPr>
            <w:tcW w:w="3544" w:type="dxa"/>
          </w:tcPr>
          <w:p w14:paraId="7D4A85F3" w14:textId="77777777" w:rsidR="0022369F" w:rsidRPr="00F17C7C" w:rsidRDefault="00C91939" w:rsidP="0049115A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3,45</w:t>
            </w:r>
          </w:p>
        </w:tc>
      </w:tr>
    </w:tbl>
    <w:p w14:paraId="7D4A85F5" w14:textId="77777777" w:rsidR="00555847" w:rsidRDefault="00F86BE3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555847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4A85F7" w14:textId="77777777" w:rsidR="00581523" w:rsidRPr="00581523" w:rsidRDefault="00C91939" w:rsidP="00F17C7C">
      <w:pPr>
        <w:pStyle w:val="a6"/>
        <w:numPr>
          <w:ilvl w:val="1"/>
          <w:numId w:val="5"/>
        </w:numPr>
        <w:ind w:left="567" w:hanging="567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lastRenderedPageBreak/>
        <w:t xml:space="preserve">Биржевой сбор за заключение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фьючерсных контрактов, маржируемых</w:t>
      </w: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опционных контрактов,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опционных контрактов, </w:t>
      </w: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>базисным активом которых являются ценные бумаги</w:t>
      </w:r>
      <w:r>
        <w:t xml:space="preserve">, </w:t>
      </w:r>
      <w:r w:rsidRPr="00A710BD">
        <w:rPr>
          <w:rFonts w:ascii="Tahoma" w:hAnsi="Tahoma" w:cs="Tahoma"/>
          <w:b/>
          <w:bCs/>
          <w:sz w:val="20"/>
          <w:szCs w:val="20"/>
        </w:rPr>
        <w:t>на основании безадресных заявок, зарегистрированных раньше, чем допустимая встречная заявка</w:t>
      </w:r>
    </w:p>
    <w:p w14:paraId="7D4A85F9" w14:textId="77777777" w:rsidR="00AF53A2" w:rsidRPr="00AF53A2" w:rsidRDefault="00C91939" w:rsidP="00F17C7C">
      <w:pPr>
        <w:pStyle w:val="a5"/>
        <w:rPr>
          <w:rFonts w:ascii="Tahoma" w:hAnsi="Tahoma" w:cs="Tahoma"/>
          <w:sz w:val="20"/>
          <w:szCs w:val="20"/>
        </w:rPr>
      </w:pPr>
      <w:r w:rsidRPr="00581523">
        <w:rPr>
          <w:rFonts w:ascii="Tahoma" w:hAnsi="Tahoma" w:cs="Tahoma"/>
          <w:bCs/>
          <w:color w:val="auto"/>
          <w:sz w:val="20"/>
          <w:szCs w:val="20"/>
        </w:rPr>
        <w:t>Комиссионное вознаграждение (биржевой сбор) включается в плату за абонентское обслуживание, рассчитываемую в соответствии с Разделом II настоящих Тарифов.</w:t>
      </w:r>
    </w:p>
    <w:p w14:paraId="7D4A85FB" w14:textId="77777777" w:rsidR="0049115A" w:rsidRPr="00D03140" w:rsidRDefault="00C91939" w:rsidP="00F17C7C">
      <w:pPr>
        <w:pStyle w:val="a5"/>
        <w:numPr>
          <w:ilvl w:val="1"/>
          <w:numId w:val="5"/>
        </w:numPr>
        <w:spacing w:before="120" w:beforeAutospacing="0" w:after="12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D4A85FC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7D4A85FD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(FutPrice)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7D4A85FE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(FutPrice)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D4A85FF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7D4A8600" w14:textId="77777777" w:rsidR="0049115A" w:rsidRPr="00D03140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7D4A8601" w14:textId="77777777" w:rsidR="0049115A" w:rsidRPr="000138EE" w:rsidRDefault="00C91939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7D4A8602" w14:textId="77777777" w:rsidR="00987DEF" w:rsidRDefault="00F86BE3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3" w14:textId="77777777" w:rsidR="0049115A" w:rsidRDefault="00C91939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. Сбор за </w:t>
      </w:r>
      <w:r w:rsidRPr="00550073">
        <w:rPr>
          <w:rFonts w:ascii="Tahoma" w:hAnsi="Tahoma" w:cs="Tahoma"/>
          <w:b/>
          <w:bCs/>
          <w:color w:val="auto"/>
          <w:sz w:val="20"/>
          <w:szCs w:val="20"/>
        </w:rPr>
        <w:t>Календарные спреды</w:t>
      </w:r>
    </w:p>
    <w:p w14:paraId="7D4A8604" w14:textId="77777777" w:rsidR="00550073" w:rsidRPr="00D03140" w:rsidRDefault="00F86BE3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D4A8605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>
        <w:rPr>
          <w:rFonts w:ascii="Tahoma" w:hAnsi="Tahoma" w:cs="Tahoma"/>
          <w:color w:val="auto"/>
          <w:sz w:val="20"/>
          <w:szCs w:val="20"/>
        </w:rPr>
        <w:t>базисным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активом и разными сроками исполнения на основании Заявки «Календарный спред» (далее – Календарный спред). </w:t>
      </w:r>
    </w:p>
    <w:p w14:paraId="7D4A8606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14:paraId="7D4A8607" w14:textId="2C34B751" w:rsidR="0049115A" w:rsidRPr="00F17C7C" w:rsidRDefault="00C91939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710E8">
        <w:rPr>
          <w:rFonts w:ascii="Tahoma" w:hAnsi="Tahoma" w:cs="Tahoma"/>
          <w:color w:val="auto"/>
          <w:sz w:val="20"/>
          <w:szCs w:val="20"/>
        </w:rPr>
        <w:lastRenderedPageBreak/>
        <w:t>Расчет ве</w:t>
      </w:r>
      <w:r w:rsidRPr="00F17C7C">
        <w:rPr>
          <w:rFonts w:ascii="Tahoma" w:hAnsi="Tahoma" w:cs="Tahoma"/>
          <w:color w:val="auto"/>
          <w:sz w:val="20"/>
          <w:szCs w:val="20"/>
        </w:rPr>
        <w:t>личины сбора за Календарные спреды в отношении фьючерсов, заключаемых на основании безадресных заявок «Календарный спред», зарегистрированных позже, чем соответствующая допустимая встречная заявка, производится по формуле:</w:t>
      </w:r>
    </w:p>
    <w:p w14:paraId="7D4A8608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7D4A8609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953B83" w14:paraId="7D4A860C" w14:textId="77777777" w:rsidTr="00BD4FE4">
        <w:tc>
          <w:tcPr>
            <w:tcW w:w="1169" w:type="dxa"/>
            <w:vAlign w:val="center"/>
          </w:tcPr>
          <w:p w14:paraId="7D4A860A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B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953B83" w14:paraId="7D4A860F" w14:textId="77777777" w:rsidTr="00BD4FE4">
        <w:tc>
          <w:tcPr>
            <w:tcW w:w="1169" w:type="dxa"/>
            <w:vAlign w:val="center"/>
          </w:tcPr>
          <w:p w14:paraId="7D4A860D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0E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953B83" w14:paraId="7D4A861B" w14:textId="77777777" w:rsidTr="00BD4FE4">
        <w:tc>
          <w:tcPr>
            <w:tcW w:w="1169" w:type="dxa"/>
            <w:vAlign w:val="center"/>
          </w:tcPr>
          <w:p w14:paraId="7D4A861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11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7D4A8612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7D4A8613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14" w14:textId="77777777" w:rsidR="0049115A" w:rsidRPr="00D03140" w:rsidRDefault="00F86BE3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5" w14:textId="77777777" w:rsidR="0049115A" w:rsidRPr="00D03140" w:rsidRDefault="00F86BE3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16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7D4A8617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7D4A8618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основании безадресной сделки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для Группы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Тарифов;</w:t>
            </w:r>
          </w:p>
          <w:p w14:paraId="7D4A8619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1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D4A861C" w14:textId="77777777" w:rsidR="0049115A" w:rsidRPr="00D03140" w:rsidRDefault="00C91939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7D4A861D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7D4A861E" w14:textId="77777777" w:rsidR="0049115A" w:rsidRPr="00D03140" w:rsidRDefault="00C91939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953B83" w14:paraId="7D4A8621" w14:textId="77777777" w:rsidTr="00BD4FE4">
        <w:tc>
          <w:tcPr>
            <w:tcW w:w="1169" w:type="dxa"/>
            <w:vAlign w:val="center"/>
          </w:tcPr>
          <w:p w14:paraId="7D4A861F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0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953B83" w14:paraId="7D4A862D" w14:textId="77777777" w:rsidTr="00BD4FE4">
        <w:tc>
          <w:tcPr>
            <w:tcW w:w="1169" w:type="dxa"/>
            <w:vAlign w:val="center"/>
          </w:tcPr>
          <w:p w14:paraId="7D4A8622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w:lastRenderedPageBreak/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D4A8623" w14:textId="77777777" w:rsidR="0049115A" w:rsidRPr="00D03140" w:rsidRDefault="00C91939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7D4A8624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7D4A8625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D4A8626" w14:textId="77777777" w:rsidR="0049115A" w:rsidRPr="00D03140" w:rsidRDefault="00F86BE3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7" w14:textId="77777777" w:rsidR="0049115A" w:rsidRPr="00D03140" w:rsidRDefault="00F86BE3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7D4A8628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7D4A8629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7D4A862A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на основании адресной заявки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для Группы Срочных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. Тарифов;</w:t>
            </w:r>
          </w:p>
          <w:p w14:paraId="7D4A862B" w14:textId="77777777" w:rsidR="000A0E04" w:rsidRPr="00E377CE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7D4A862C" w14:textId="77777777" w:rsidR="0049115A" w:rsidRPr="00D03140" w:rsidRDefault="00C91939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7D4A862E" w14:textId="77777777" w:rsidR="0049115A" w:rsidRDefault="00C91939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Величина биржевого сбора, установленная в пункте 3.</w:t>
      </w:r>
      <w:r>
        <w:rPr>
          <w:rFonts w:ascii="Tahoma" w:hAnsi="Tahoma" w:cs="Tahoma"/>
          <w:color w:val="auto"/>
          <w:sz w:val="20"/>
          <w:szCs w:val="20"/>
        </w:rPr>
        <w:t>4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Тарифов для регистрации скальперских сделок, в отношении Календарных спредов не применяется.  </w:t>
      </w:r>
    </w:p>
    <w:p w14:paraId="7D4A862F" w14:textId="77777777" w:rsidR="007E6072" w:rsidRPr="007E6072" w:rsidRDefault="00C91939" w:rsidP="00F17C7C">
      <w:pPr>
        <w:pStyle w:val="txt"/>
        <w:spacing w:before="240" w:beforeAutospacing="0" w:after="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. Маркетинговая программа </w:t>
      </w:r>
      <w:r>
        <w:rPr>
          <w:rFonts w:ascii="Tahoma" w:hAnsi="Tahoma" w:cs="Tahoma"/>
          <w:b/>
          <w:color w:val="auto"/>
          <w:sz w:val="20"/>
          <w:szCs w:val="20"/>
        </w:rPr>
        <w:t xml:space="preserve">в отношении </w:t>
      </w:r>
      <w:r w:rsidRPr="00862002">
        <w:rPr>
          <w:rFonts w:ascii="Tahoma" w:hAnsi="Tahoma" w:cs="Tahoma"/>
          <w:b/>
          <w:color w:val="auto"/>
          <w:sz w:val="20"/>
          <w:szCs w:val="20"/>
        </w:rPr>
        <w:t>опционных контрактов, базисным активом которых являются ценные бумаги</w:t>
      </w:r>
      <w:r>
        <w:rPr>
          <w:rFonts w:ascii="Tahoma" w:hAnsi="Tahoma" w:cs="Tahoma"/>
          <w:b/>
          <w:color w:val="auto"/>
          <w:sz w:val="20"/>
          <w:szCs w:val="20"/>
        </w:rPr>
        <w:t xml:space="preserve"> (далее - Программа)</w:t>
      </w:r>
    </w:p>
    <w:p w14:paraId="7D4A8630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Программа -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целевая программа по предоставлению Биржей премии по биржевому сбору</w:t>
      </w:r>
      <w:r w:rsidRPr="007E6072">
        <w:rPr>
          <w:rFonts w:ascii="Tahoma" w:hAnsi="Tahoma" w:cs="Tahoma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(далее – Премия). </w:t>
      </w:r>
    </w:p>
    <w:p w14:paraId="7D4A8631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Целью Программы является увеличение количества активных пользователей </w:t>
      </w:r>
      <w:r>
        <w:rPr>
          <w:rFonts w:ascii="Tahoma" w:hAnsi="Tahoma" w:cs="Tahoma"/>
          <w:color w:val="auto"/>
          <w:sz w:val="20"/>
          <w:szCs w:val="20"/>
        </w:rPr>
        <w:t xml:space="preserve">при заключении сделок с опционными контрактами, базовым активом которых являются ценные бумаги, </w:t>
      </w:r>
      <w:r w:rsidRPr="007E6072">
        <w:rPr>
          <w:rFonts w:ascii="Tahoma" w:hAnsi="Tahoma" w:cs="Tahoma"/>
          <w:color w:val="auto"/>
          <w:sz w:val="20"/>
          <w:szCs w:val="20"/>
        </w:rPr>
        <w:t>развитие клиентской базы и повышение привлекательности для потребителей ликвидности.</w:t>
      </w:r>
    </w:p>
    <w:p w14:paraId="7D4A8632" w14:textId="77777777" w:rsid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Период действия Программы – </w:t>
      </w:r>
      <w:r>
        <w:rPr>
          <w:rFonts w:ascii="Tahoma" w:hAnsi="Tahoma" w:cs="Tahoma"/>
          <w:color w:val="auto"/>
          <w:sz w:val="20"/>
          <w:szCs w:val="20"/>
        </w:rPr>
        <w:t>с 18.04.2022 до 30.04.2023 включительно.</w:t>
      </w:r>
    </w:p>
    <w:p w14:paraId="7D4A8633" w14:textId="77777777" w:rsidR="008B76A6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Участник программы – Участник торгов, допущенный к совершению сделок. </w:t>
      </w:r>
    </w:p>
    <w:p w14:paraId="7D4A8634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 по биржевому сбору. </w:t>
      </w:r>
    </w:p>
    <w:p w14:paraId="7D4A8635" w14:textId="77777777" w:rsidR="00FC4BC9" w:rsidRPr="00FC4BC9" w:rsidRDefault="00C91939" w:rsidP="00FC4BC9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Премия по биржевому сбору предоставляется Участнику программы при условии, что </w:t>
      </w:r>
      <w:r>
        <w:rPr>
          <w:rFonts w:ascii="Tahoma" w:hAnsi="Tahoma" w:cs="Tahoma"/>
          <w:color w:val="auto"/>
          <w:sz w:val="20"/>
          <w:szCs w:val="20"/>
        </w:rPr>
        <w:t xml:space="preserve">суммарный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объем сделок, совершенных Участником программы от своего имени и за свой счет и/или за счет Клиентов </w:t>
      </w:r>
      <w:r>
        <w:rPr>
          <w:rFonts w:ascii="Tahoma" w:hAnsi="Tahoma" w:cs="Tahoma"/>
          <w:color w:val="auto"/>
          <w:sz w:val="20"/>
          <w:szCs w:val="20"/>
        </w:rPr>
        <w:t>-с опционами, базисным активом которых являются ценные бумаги,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в течение календарного месяца,</w:t>
      </w:r>
      <w:r>
        <w:rPr>
          <w:rFonts w:ascii="Tahoma" w:hAnsi="Tahoma" w:cs="Tahoma"/>
          <w:color w:val="auto"/>
          <w:sz w:val="20"/>
          <w:szCs w:val="20"/>
        </w:rPr>
        <w:t xml:space="preserve"> по итогам которого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осуществляется расчет Премии (далее – отчетный период), </w:t>
      </w:r>
      <w:r>
        <w:rPr>
          <w:rFonts w:ascii="Tahoma" w:hAnsi="Tahoma" w:cs="Tahoma"/>
          <w:color w:val="auto"/>
          <w:sz w:val="20"/>
          <w:szCs w:val="20"/>
        </w:rPr>
        <w:t xml:space="preserve">составил не менее 100 (ста) миллионов рублей. </w:t>
      </w:r>
    </w:p>
    <w:p w14:paraId="7D4A8636" w14:textId="77777777" w:rsidR="00FC4BC9" w:rsidRPr="007E6072" w:rsidRDefault="00C91939" w:rsidP="00FC4BC9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FC4BC9">
        <w:rPr>
          <w:rFonts w:ascii="Tahoma" w:hAnsi="Tahoma" w:cs="Tahoma"/>
          <w:color w:val="auto"/>
          <w:sz w:val="20"/>
          <w:szCs w:val="20"/>
        </w:rPr>
        <w:lastRenderedPageBreak/>
        <w:t xml:space="preserve">Размер премии при заключении опционных контрактов, базисным активом которых являются ценные бумаги, составляет 50% от суммы уплаченного Участником </w:t>
      </w:r>
      <w:r>
        <w:rPr>
          <w:rFonts w:ascii="Tahoma" w:hAnsi="Tahoma" w:cs="Tahoma"/>
          <w:color w:val="auto"/>
          <w:sz w:val="20"/>
          <w:szCs w:val="20"/>
        </w:rPr>
        <w:t xml:space="preserve">программы биржевого сбора </w:t>
      </w:r>
      <w:r w:rsidRPr="00FC4BC9">
        <w:rPr>
          <w:rFonts w:ascii="Tahoma" w:hAnsi="Tahoma" w:cs="Tahoma"/>
          <w:color w:val="auto"/>
          <w:sz w:val="20"/>
          <w:szCs w:val="20"/>
        </w:rPr>
        <w:t>по сделкам, указанным в п.</w:t>
      </w:r>
      <w:r>
        <w:rPr>
          <w:rFonts w:ascii="Tahoma" w:hAnsi="Tahoma" w:cs="Tahoma"/>
          <w:color w:val="auto"/>
          <w:sz w:val="20"/>
          <w:szCs w:val="20"/>
        </w:rPr>
        <w:t>п. 5.5</w:t>
      </w:r>
      <w:r w:rsidRPr="00FC4BC9">
        <w:rPr>
          <w:rFonts w:ascii="Tahoma" w:hAnsi="Tahoma" w:cs="Tahoma"/>
          <w:color w:val="auto"/>
          <w:sz w:val="20"/>
          <w:szCs w:val="20"/>
        </w:rPr>
        <w:t xml:space="preserve">, по итогам </w:t>
      </w:r>
      <w:r>
        <w:rPr>
          <w:rFonts w:ascii="Tahoma" w:hAnsi="Tahoma" w:cs="Tahoma"/>
          <w:color w:val="auto"/>
          <w:sz w:val="20"/>
          <w:szCs w:val="20"/>
        </w:rPr>
        <w:t>отчетного периода.</w:t>
      </w:r>
    </w:p>
    <w:p w14:paraId="7D4A8637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14:paraId="7D4A8638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7D4A8639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Отчет формируется Биржей и содержит информацию:</w:t>
      </w:r>
    </w:p>
    <w:p w14:paraId="7D4A863A" w14:textId="77777777" w:rsidR="007E6072" w:rsidRPr="007E6072" w:rsidRDefault="00C91939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от своего имени и за свой счет и/или за счет Клиентов в течение отчетного периода; </w:t>
      </w:r>
    </w:p>
    <w:p w14:paraId="7D4A863B" w14:textId="77777777" w:rsidR="007E6072" w:rsidRPr="007E6072" w:rsidRDefault="00C91939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п. 5.5; </w:t>
      </w:r>
    </w:p>
    <w:p w14:paraId="7D4A863C" w14:textId="77777777" w:rsidR="007E6072" w:rsidRPr="007E6072" w:rsidRDefault="00C91939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величине Премии, подлежащей выплате Участнику программы за отчетный период.   </w:t>
      </w:r>
    </w:p>
    <w:p w14:paraId="7D4A863D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14:paraId="7D4A863E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</w:t>
      </w:r>
      <w:r>
        <w:rPr>
          <w:rFonts w:ascii="Tahoma" w:hAnsi="Tahoma" w:cs="Tahoma"/>
          <w:color w:val="auto"/>
          <w:sz w:val="20"/>
          <w:szCs w:val="20"/>
        </w:rPr>
        <w:t>7</w:t>
      </w:r>
      <w:r w:rsidRPr="007E6072">
        <w:rPr>
          <w:rFonts w:ascii="Tahoma" w:hAnsi="Tahoma" w:cs="Tahoma"/>
          <w:color w:val="auto"/>
          <w:sz w:val="20"/>
          <w:szCs w:val="20"/>
        </w:rPr>
        <w:t>.3.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14:paraId="7D4A863F" w14:textId="77777777" w:rsidR="007E6072" w:rsidRPr="007E6072" w:rsidRDefault="00C91939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истечения срока возврата Участником торгов подписанного Отчета, установленного подпунктом 5.</w:t>
      </w:r>
      <w:r>
        <w:rPr>
          <w:rFonts w:ascii="Tahoma" w:hAnsi="Tahoma" w:cs="Tahoma"/>
          <w:color w:val="auto"/>
          <w:sz w:val="20"/>
          <w:szCs w:val="20"/>
        </w:rPr>
        <w:t>7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.3. Тарифов). </w:t>
      </w:r>
    </w:p>
    <w:p w14:paraId="7D4A8640" w14:textId="77777777" w:rsidR="007E6072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форме. С даты получения Биржей указанного заявления подавший его Участник программы исключается из состава Участников программы.</w:t>
      </w:r>
    </w:p>
    <w:p w14:paraId="7D4A8641" w14:textId="77777777" w:rsid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14:paraId="7D4A8642" w14:textId="77777777" w:rsidR="00E230FC" w:rsidRPr="007E6072" w:rsidRDefault="00C91939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Программы.</w:t>
      </w:r>
    </w:p>
    <w:p w14:paraId="7D4A8643" w14:textId="77777777" w:rsidR="007E6072" w:rsidRDefault="00F86BE3" w:rsidP="00E230FC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864C" w14:textId="77777777" w:rsidR="00980CE4" w:rsidRDefault="00C91939">
      <w:r>
        <w:separator/>
      </w:r>
    </w:p>
  </w:endnote>
  <w:endnote w:type="continuationSeparator" w:id="0">
    <w:p w14:paraId="7D4A864E" w14:textId="77777777" w:rsidR="00980CE4" w:rsidRDefault="00C9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D4A8648" w14:textId="77777777" w:rsidR="00191508" w:rsidRPr="00DC017E" w:rsidRDefault="00C91939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D4A8649" w14:textId="77777777" w:rsidR="00191508" w:rsidRDefault="00F86B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8644" w14:textId="77777777" w:rsidR="00191508" w:rsidRDefault="00C91939" w:rsidP="0049115A">
      <w:r>
        <w:separator/>
      </w:r>
    </w:p>
  </w:footnote>
  <w:footnote w:type="continuationSeparator" w:id="0">
    <w:p w14:paraId="7D4A8645" w14:textId="77777777" w:rsidR="00191508" w:rsidRDefault="00C91939" w:rsidP="0049115A">
      <w:r>
        <w:continuationSeparator/>
      </w:r>
    </w:p>
  </w:footnote>
  <w:footnote w:id="1">
    <w:p w14:paraId="7D4A864A" w14:textId="77777777" w:rsidR="00191508" w:rsidRPr="00987DEF" w:rsidRDefault="00C91939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646" w14:textId="77777777" w:rsidR="00191508" w:rsidRPr="007F77F0" w:rsidRDefault="00C91939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7D4A8647" w14:textId="77777777" w:rsidR="00191508" w:rsidRDefault="00F86B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7CDA5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3CE04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E56F3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3A1F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38FE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9BC60E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6565A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1486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3903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8820BEB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404B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6000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68107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C601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5EFF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10A3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B1E64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598BA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BCBC023C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F612A850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93584286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9DE2731C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7870D3F6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D7A2B44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53E4A3E8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8A649D06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6F5215EC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986A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F0E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4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A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C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B1A8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97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28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A43A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A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6400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5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26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33A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3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8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B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FC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AEC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C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5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51FED2B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BEC4133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26C197C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618111C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D82CC858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9072F5BC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6F267D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EADCA37E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A5789BE0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E998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C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E2C4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44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4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1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E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325437D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BDA4D29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E4017D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F0C8BD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952E04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9ECCAD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8947A1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93C503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51A2A6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B7E8C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80B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4E1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293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927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5E8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1AEA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47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343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83"/>
    <w:rsid w:val="00953B83"/>
    <w:rsid w:val="00980CE4"/>
    <w:rsid w:val="00A710BD"/>
    <w:rsid w:val="00C91939"/>
    <w:rsid w:val="00F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8528"/>
  <w15:docId w15:val="{A51DB7BF-6D94-46FD-92B5-BCDE1FF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A3471-5230-46BC-917D-2601CB81E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899086-A0E6-4957-9BE2-C1E3374835A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Дюкель Олег Александрович</dc:creator>
  <cp:lastModifiedBy>.</cp:lastModifiedBy>
  <cp:revision>4</cp:revision>
  <dcterms:created xsi:type="dcterms:W3CDTF">2022-06-08T12:22:00Z</dcterms:created>
  <dcterms:modified xsi:type="dcterms:W3CDTF">2022-06-08T12:25:00Z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