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1C" w:rsidRPr="00380EC8" w:rsidRDefault="009E6A1C" w:rsidP="00380E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85"/>
        </w:tabs>
        <w:ind w:left="5529" w:right="-81"/>
        <w:jc w:val="right"/>
        <w:rPr>
          <w:rFonts w:ascii="Tahoma" w:hAnsi="Tahoma" w:cs="Tahoma"/>
          <w:szCs w:val="22"/>
          <w:lang w:val="en-US"/>
        </w:rPr>
      </w:pPr>
      <w:r w:rsidRPr="000B7A63">
        <w:rPr>
          <w:rFonts w:ascii="Tahoma" w:hAnsi="Tahoma" w:cs="Tahoma"/>
          <w:sz w:val="22"/>
          <w:szCs w:val="22"/>
        </w:rPr>
        <w:tab/>
      </w:r>
      <w:r w:rsidRPr="000B7A63">
        <w:rPr>
          <w:rFonts w:ascii="Tahoma" w:hAnsi="Tahoma" w:cs="Tahoma"/>
          <w:sz w:val="22"/>
          <w:szCs w:val="22"/>
          <w:lang w:val="en-US"/>
        </w:rPr>
        <w:tab/>
      </w:r>
      <w:r w:rsidRPr="000B7A63">
        <w:rPr>
          <w:rFonts w:ascii="Tahoma" w:hAnsi="Tahoma" w:cs="Tahoma"/>
          <w:sz w:val="22"/>
          <w:szCs w:val="22"/>
          <w:lang w:val="en-US"/>
        </w:rPr>
        <w:tab/>
      </w:r>
      <w:r w:rsidRPr="00380EC8">
        <w:rPr>
          <w:rFonts w:ascii="Tahoma" w:hAnsi="Tahoma" w:cs="Tahoma"/>
          <w:szCs w:val="22"/>
          <w:lang w:val="en-US"/>
        </w:rPr>
        <w:t>APPROVED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 xml:space="preserve">by the resolution of the 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 xml:space="preserve">Supervisory Board of 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>Public Joint-Stock Company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>“Moscow Exchange MICEX-RTS”</w:t>
      </w:r>
    </w:p>
    <w:p w:rsidR="009E6A1C" w:rsidRPr="00380EC8" w:rsidRDefault="00BC0DE7" w:rsidP="00380EC8">
      <w:pPr>
        <w:tabs>
          <w:tab w:val="left" w:pos="4962"/>
        </w:tabs>
        <w:autoSpaceDE w:val="0"/>
        <w:autoSpaceDN w:val="0"/>
        <w:ind w:left="5245" w:right="-81"/>
        <w:jc w:val="right"/>
        <w:rPr>
          <w:rFonts w:ascii="Tahoma" w:hAnsi="Tahoma" w:cs="Tahoma"/>
          <w:bCs/>
          <w:sz w:val="20"/>
          <w:szCs w:val="22"/>
          <w:lang w:val="x-none" w:eastAsia="x-none"/>
        </w:rPr>
      </w:pPr>
      <w:r>
        <w:rPr>
          <w:rFonts w:ascii="Tahoma" w:hAnsi="Tahoma" w:cs="Tahoma"/>
          <w:bCs/>
          <w:sz w:val="20"/>
          <w:szCs w:val="22"/>
          <w:lang w:val="en-US" w:eastAsia="x-none"/>
        </w:rPr>
        <w:t>o</w:t>
      </w:r>
      <w:r w:rsidR="00EF16A3">
        <w:rPr>
          <w:rFonts w:ascii="Tahoma" w:hAnsi="Tahoma" w:cs="Tahoma"/>
          <w:bCs/>
          <w:sz w:val="20"/>
          <w:szCs w:val="22"/>
          <w:lang w:val="en-US" w:eastAsia="x-none"/>
        </w:rPr>
        <w:t>n</w:t>
      </w:r>
      <w:r w:rsidRPr="00105430">
        <w:rPr>
          <w:rFonts w:ascii="Tahoma" w:hAnsi="Tahoma" w:cs="Tahoma"/>
          <w:bCs/>
          <w:sz w:val="20"/>
          <w:szCs w:val="22"/>
          <w:lang w:val="en-US" w:eastAsia="x-none"/>
        </w:rPr>
        <w:t xml:space="preserve"> </w:t>
      </w:r>
      <w:r w:rsidR="00B43F23">
        <w:rPr>
          <w:rFonts w:ascii="Tahoma" w:hAnsi="Tahoma" w:cs="Tahoma"/>
          <w:bCs/>
          <w:sz w:val="20"/>
          <w:szCs w:val="22"/>
          <w:lang w:val="en-US" w:eastAsia="x-none"/>
        </w:rPr>
        <w:t>December 28, 2018</w:t>
      </w:r>
      <w:r w:rsidR="00EF16A3">
        <w:rPr>
          <w:rFonts w:ascii="Tahoma" w:hAnsi="Tahoma" w:cs="Tahoma"/>
          <w:bCs/>
          <w:sz w:val="20"/>
          <w:szCs w:val="22"/>
          <w:lang w:val="en-US" w:eastAsia="x-none"/>
        </w:rPr>
        <w:t xml:space="preserve"> (Minutes No.</w:t>
      </w:r>
      <w:r w:rsidR="00B43F23">
        <w:rPr>
          <w:rFonts w:ascii="Tahoma" w:hAnsi="Tahoma" w:cs="Tahoma"/>
          <w:bCs/>
          <w:sz w:val="20"/>
          <w:szCs w:val="22"/>
          <w:lang w:val="en-US" w:eastAsia="x-none"/>
        </w:rPr>
        <w:t xml:space="preserve"> 13</w:t>
      </w:r>
      <w:r w:rsidR="009E6A1C" w:rsidRPr="00380EC8">
        <w:rPr>
          <w:rFonts w:ascii="Tahoma" w:hAnsi="Tahoma" w:cs="Tahoma"/>
          <w:bCs/>
          <w:sz w:val="20"/>
          <w:szCs w:val="22"/>
          <w:lang w:val="en-US" w:eastAsia="x-none"/>
        </w:rPr>
        <w:t>)</w:t>
      </w:r>
    </w:p>
    <w:p w:rsidR="009E6A1C" w:rsidRDefault="009E6A1C" w:rsidP="009E6A1C">
      <w:pPr>
        <w:tabs>
          <w:tab w:val="left" w:pos="3240"/>
          <w:tab w:val="left" w:pos="5443"/>
          <w:tab w:val="left" w:pos="5580"/>
          <w:tab w:val="left" w:pos="7655"/>
        </w:tabs>
        <w:rPr>
          <w:rFonts w:ascii="Tahoma" w:hAnsi="Tahoma" w:cs="Tahoma"/>
          <w:sz w:val="20"/>
          <w:szCs w:val="22"/>
          <w:lang w:val="x-none"/>
        </w:rPr>
      </w:pPr>
    </w:p>
    <w:p w:rsidR="00B9172A" w:rsidRPr="00394829" w:rsidRDefault="00B9172A" w:rsidP="009E6A1C">
      <w:pPr>
        <w:tabs>
          <w:tab w:val="left" w:pos="3240"/>
          <w:tab w:val="left" w:pos="5443"/>
          <w:tab w:val="left" w:pos="5580"/>
          <w:tab w:val="left" w:pos="7655"/>
        </w:tabs>
        <w:rPr>
          <w:rFonts w:ascii="Tahoma" w:hAnsi="Tahoma" w:cs="Tahoma"/>
          <w:sz w:val="20"/>
          <w:szCs w:val="22"/>
          <w:lang w:val="x-none"/>
        </w:rPr>
      </w:pPr>
    </w:p>
    <w:p w:rsidR="009E6A1C" w:rsidRPr="00394829" w:rsidRDefault="009E6A1C" w:rsidP="009E6A1C">
      <w:pPr>
        <w:pStyle w:val="a3"/>
        <w:tabs>
          <w:tab w:val="left" w:pos="4962"/>
        </w:tabs>
        <w:ind w:left="6237" w:right="-81"/>
        <w:rPr>
          <w:rFonts w:ascii="Tahoma" w:hAnsi="Tahoma" w:cs="Tahoma"/>
          <w:szCs w:val="22"/>
        </w:rPr>
      </w:pPr>
    </w:p>
    <w:p w:rsidR="009E6A1C" w:rsidRPr="00394829" w:rsidRDefault="009E6A1C" w:rsidP="00CE6188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>THE MOSCOW EXCHANGE DERIVATIVES MARKET</w:t>
      </w:r>
      <w:r w:rsidR="005E6D21"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FEE</w:t>
      </w:r>
      <w:r w:rsidR="008A5C45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SCHEDULE</w:t>
      </w:r>
    </w:p>
    <w:p w:rsidR="009E6A1C" w:rsidRPr="000D0E9F" w:rsidRDefault="009E6A1C" w:rsidP="00CE6188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2"/>
          <w:lang w:val="en-US"/>
        </w:rPr>
      </w:pPr>
      <w:r w:rsidRPr="00394829">
        <w:rPr>
          <w:rFonts w:ascii="Tahoma" w:hAnsi="Tahoma" w:cs="Tahoma"/>
          <w:color w:val="auto"/>
          <w:sz w:val="20"/>
          <w:szCs w:val="22"/>
          <w:lang w:val="en-US"/>
        </w:rPr>
        <w:t xml:space="preserve">(Fees quoted in Russian </w:t>
      </w:r>
      <w:r w:rsidR="000D0E9F">
        <w:rPr>
          <w:rFonts w:ascii="Tahoma" w:hAnsi="Tahoma" w:cs="Tahoma"/>
          <w:color w:val="auto"/>
          <w:sz w:val="20"/>
          <w:szCs w:val="22"/>
          <w:lang w:val="en-US"/>
        </w:rPr>
        <w:t>R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ubles. Not subject to VAT)</w:t>
      </w:r>
    </w:p>
    <w:p w:rsidR="009E6A1C" w:rsidRPr="000D0E9F" w:rsidRDefault="009E6A1C" w:rsidP="009E6A1C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2"/>
          <w:lang w:val="en-US"/>
        </w:rPr>
      </w:pPr>
    </w:p>
    <w:p w:rsidR="009E6A1C" w:rsidRPr="000D0E9F" w:rsidRDefault="009E6A1C" w:rsidP="009E6A1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2"/>
          <w:lang w:val="en-US"/>
        </w:rPr>
      </w:pP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This </w:t>
      </w:r>
      <w:r w:rsidR="0019069F">
        <w:rPr>
          <w:rFonts w:ascii="Tahoma" w:hAnsi="Tahoma" w:cs="Tahoma"/>
          <w:color w:val="auto"/>
          <w:sz w:val="20"/>
          <w:szCs w:val="22"/>
          <w:lang w:val="en-US"/>
        </w:rPr>
        <w:t xml:space="preserve">Derivatives Market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Fee Schedule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 specifies amounts of fees charged by the Moscow Exchange (hereinafter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,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 the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“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Exchange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”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) for its services for organizing the trading on the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 xml:space="preserve">Moscow Exchange 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Derivatives </w:t>
      </w:r>
      <w:r w:rsidR="00634649" w:rsidRPr="000D0E9F">
        <w:rPr>
          <w:rFonts w:ascii="Tahoma" w:hAnsi="Tahoma" w:cs="Tahoma"/>
          <w:color w:val="auto"/>
          <w:sz w:val="20"/>
          <w:szCs w:val="22"/>
          <w:lang w:val="en-US"/>
        </w:rPr>
        <w:t>M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arket including the Exchange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F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ee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s</w:t>
      </w:r>
      <w:r w:rsidR="0070747C">
        <w:rPr>
          <w:rFonts w:ascii="Tahoma" w:hAnsi="Tahoma" w:cs="Tahoma"/>
          <w:color w:val="auto"/>
          <w:sz w:val="20"/>
          <w:szCs w:val="22"/>
          <w:lang w:val="en-US"/>
        </w:rPr>
        <w:t xml:space="preserve"> (hereinafter, the “Fee Schedule”)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.    </w:t>
      </w:r>
    </w:p>
    <w:p w:rsidR="009E6A1C" w:rsidRPr="000D0E9F" w:rsidRDefault="009E6A1C" w:rsidP="009E6A1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2"/>
          <w:lang w:val="en-US"/>
        </w:rPr>
      </w:pP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Terms in the present price list shall be construed in accordance with their meanings set forth in the legislation of the Russian Federation, </w:t>
      </w:r>
      <w:r w:rsidR="00950B00"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the Moscow Exchange Derivatives Trading 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Rules (hereinafter, the 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“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Derivatives Rules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”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) and </w:t>
      </w:r>
      <w:r w:rsidR="00950B00"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the National Clearing Center Clearing 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Rules on Derivatives Market of the Moscow Exchange (hereinafter, the 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“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Clearing Rules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”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)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.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 </w:t>
      </w:r>
    </w:p>
    <w:p w:rsidR="009E6A1C" w:rsidRPr="000D0E9F" w:rsidRDefault="009E6A1C" w:rsidP="009E6A1C">
      <w:pPr>
        <w:pStyle w:val="txt"/>
        <w:spacing w:before="0" w:beforeAutospacing="0" w:after="0" w:afterAutospacing="0"/>
        <w:jc w:val="both"/>
        <w:rPr>
          <w:rFonts w:ascii="Tahoma" w:hAnsi="Tahoma" w:cs="Tahoma"/>
          <w:b/>
          <w:bCs/>
          <w:color w:val="auto"/>
          <w:sz w:val="20"/>
          <w:szCs w:val="22"/>
          <w:lang w:val="en-US"/>
        </w:rPr>
      </w:pPr>
    </w:p>
    <w:p w:rsidR="009E6A1C" w:rsidRPr="00394829" w:rsidRDefault="009E6A1C" w:rsidP="009E6A1C">
      <w:pPr>
        <w:pStyle w:val="txt"/>
        <w:spacing w:before="0" w:beforeAutospacing="0" w:after="0" w:afterAutospacing="0"/>
        <w:jc w:val="both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SECTION I. </w:t>
      </w:r>
      <w:r w:rsidR="00E61280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>Admission</w:t>
      </w:r>
      <w:r w:rsidR="00E61280"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</w:t>
      </w:r>
      <w:r w:rsidR="004C60F4"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>Fees</w:t>
      </w:r>
      <w:r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</w:t>
      </w:r>
    </w:p>
    <w:p w:rsidR="009E6A1C" w:rsidRPr="000D0E9F" w:rsidRDefault="009E6A1C" w:rsidP="009E6A1C">
      <w:pPr>
        <w:pStyle w:val="txt"/>
        <w:spacing w:before="0" w:beforeAutospacing="0" w:after="0" w:afterAutospacing="0"/>
        <w:jc w:val="both"/>
        <w:rPr>
          <w:rFonts w:ascii="Tahoma" w:hAnsi="Tahoma" w:cs="Tahoma"/>
          <w:b/>
          <w:bCs/>
          <w:color w:val="auto"/>
          <w:sz w:val="20"/>
          <w:szCs w:val="22"/>
          <w:lang w:val="en-US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123"/>
        <w:gridCol w:w="2693"/>
      </w:tblGrid>
      <w:tr w:rsidR="00E61280" w:rsidRPr="000D0E9F" w:rsidTr="00DF37FA">
        <w:trPr>
          <w:trHeight w:val="456"/>
        </w:trPr>
        <w:tc>
          <w:tcPr>
            <w:tcW w:w="540" w:type="dxa"/>
            <w:vAlign w:val="center"/>
          </w:tcPr>
          <w:p w:rsidR="00E61280" w:rsidRPr="000D0E9F" w:rsidRDefault="00E61280" w:rsidP="00B358DF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6123" w:type="dxa"/>
            <w:vAlign w:val="center"/>
          </w:tcPr>
          <w:p w:rsidR="00E61280" w:rsidRDefault="00E61280" w:rsidP="00E6128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Fee</w:t>
            </w:r>
          </w:p>
        </w:tc>
        <w:tc>
          <w:tcPr>
            <w:tcW w:w="2693" w:type="dxa"/>
            <w:vAlign w:val="center"/>
          </w:tcPr>
          <w:p w:rsidR="00E61280" w:rsidRPr="00E61280" w:rsidRDefault="00E61280" w:rsidP="00E61280">
            <w:pPr>
              <w:ind w:right="-108"/>
              <w:jc w:val="center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Fee amount</w:t>
            </w:r>
          </w:p>
        </w:tc>
      </w:tr>
      <w:tr w:rsidR="009E6A1C" w:rsidRPr="000D0E9F" w:rsidTr="00DF37FA">
        <w:trPr>
          <w:trHeight w:val="456"/>
        </w:trPr>
        <w:tc>
          <w:tcPr>
            <w:tcW w:w="540" w:type="dxa"/>
            <w:vAlign w:val="center"/>
          </w:tcPr>
          <w:p w:rsidR="009E6A1C" w:rsidRPr="000D0E9F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0D0E9F">
              <w:rPr>
                <w:rFonts w:ascii="Tahoma" w:hAnsi="Tahoma" w:cs="Tahoma"/>
                <w:sz w:val="20"/>
                <w:szCs w:val="22"/>
              </w:rPr>
              <w:t>1.</w:t>
            </w:r>
          </w:p>
        </w:tc>
        <w:tc>
          <w:tcPr>
            <w:tcW w:w="6123" w:type="dxa"/>
            <w:vAlign w:val="center"/>
          </w:tcPr>
          <w:p w:rsidR="009E6A1C" w:rsidRPr="000D0E9F" w:rsidRDefault="00E61280" w:rsidP="00E6128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="009E6A1C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 </w:t>
            </w:r>
            <w:r w:rsidR="00680AF4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</w:t>
            </w:r>
            <w:r w:rsidR="003B5EAB">
              <w:rPr>
                <w:rFonts w:ascii="Tahoma" w:hAnsi="Tahoma" w:cs="Tahoma"/>
                <w:sz w:val="20"/>
                <w:szCs w:val="22"/>
                <w:lang w:val="en-US"/>
              </w:rPr>
              <w:t>Member</w:t>
            </w:r>
            <w:r w:rsidR="009E6A1C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O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”</w:t>
            </w:r>
          </w:p>
        </w:tc>
        <w:tc>
          <w:tcPr>
            <w:tcW w:w="2693" w:type="dxa"/>
            <w:vAlign w:val="center"/>
          </w:tcPr>
          <w:p w:rsidR="009E6A1C" w:rsidRPr="000D0E9F" w:rsidRDefault="009E6A1C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 w:rsidRPr="000D0E9F">
              <w:rPr>
                <w:rFonts w:ascii="Tahoma" w:hAnsi="Tahoma" w:cs="Tahoma"/>
                <w:sz w:val="20"/>
                <w:szCs w:val="22"/>
              </w:rPr>
              <w:t>5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0D0E9F">
              <w:rPr>
                <w:rFonts w:ascii="Tahoma" w:hAnsi="Tahoma" w:cs="Tahoma"/>
                <w:sz w:val="20"/>
                <w:szCs w:val="22"/>
              </w:rPr>
              <w:t>000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0D0E9F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  <w:tr w:rsidR="009E6A1C" w:rsidRPr="000D0E9F" w:rsidTr="00DF37FA">
        <w:trPr>
          <w:trHeight w:val="456"/>
        </w:trPr>
        <w:tc>
          <w:tcPr>
            <w:tcW w:w="540" w:type="dxa"/>
            <w:vAlign w:val="center"/>
          </w:tcPr>
          <w:p w:rsidR="009E6A1C" w:rsidRPr="00394829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2.</w:t>
            </w:r>
          </w:p>
        </w:tc>
        <w:tc>
          <w:tcPr>
            <w:tcW w:w="6123" w:type="dxa"/>
            <w:vAlign w:val="center"/>
          </w:tcPr>
          <w:p w:rsidR="009E6A1C" w:rsidRPr="00394829" w:rsidRDefault="00E61280" w:rsidP="00E6128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Extra </w:t>
            </w:r>
            <w:r w:rsidR="00DE6945">
              <w:rPr>
                <w:rFonts w:ascii="Tahoma" w:hAnsi="Tahoma" w:cs="Tahoma"/>
                <w:sz w:val="20"/>
                <w:szCs w:val="22"/>
                <w:lang w:val="en-US"/>
              </w:rPr>
              <w:t>A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dmission </w:t>
            </w:r>
            <w:r w:rsidR="00DE6945">
              <w:rPr>
                <w:rFonts w:ascii="Tahoma" w:hAnsi="Tahoma" w:cs="Tahoma"/>
                <w:sz w:val="20"/>
                <w:szCs w:val="22"/>
                <w:lang w:val="en-US"/>
              </w:rPr>
              <w:t>F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ee as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 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</w:t>
            </w:r>
            <w:r w:rsidR="003B5EAB">
              <w:rPr>
                <w:rFonts w:ascii="Tahoma" w:hAnsi="Tahoma" w:cs="Tahoma"/>
                <w:sz w:val="20"/>
                <w:szCs w:val="22"/>
                <w:lang w:val="en-US"/>
              </w:rPr>
              <w:t>Member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O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”</w:t>
            </w:r>
          </w:p>
        </w:tc>
        <w:tc>
          <w:tcPr>
            <w:tcW w:w="2693" w:type="dxa"/>
            <w:vAlign w:val="center"/>
          </w:tcPr>
          <w:p w:rsidR="009E6A1C" w:rsidRPr="009D0F03" w:rsidRDefault="009D0F03" w:rsidP="00B358DF">
            <w:pPr>
              <w:ind w:left="884" w:right="-108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250,000*</w:t>
            </w:r>
          </w:p>
        </w:tc>
      </w:tr>
      <w:tr w:rsidR="009E6A1C" w:rsidRPr="000D0E9F" w:rsidTr="00DF37FA">
        <w:trPr>
          <w:trHeight w:val="786"/>
        </w:trPr>
        <w:tc>
          <w:tcPr>
            <w:tcW w:w="540" w:type="dxa"/>
            <w:vAlign w:val="center"/>
          </w:tcPr>
          <w:p w:rsidR="009E6A1C" w:rsidRPr="00394829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3.</w:t>
            </w:r>
          </w:p>
        </w:tc>
        <w:tc>
          <w:tcPr>
            <w:tcW w:w="6123" w:type="dxa"/>
            <w:vAlign w:val="center"/>
          </w:tcPr>
          <w:p w:rsidR="009E6A1C" w:rsidRPr="00394829" w:rsidRDefault="00DE6945" w:rsidP="009D0F03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</w:t>
            </w:r>
            <w:r w:rsidR="009D0F03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</w:t>
            </w:r>
            <w:r w:rsidR="003B5EAB">
              <w:rPr>
                <w:rFonts w:ascii="Tahoma" w:hAnsi="Tahoma" w:cs="Tahoma"/>
                <w:sz w:val="20"/>
                <w:szCs w:val="22"/>
                <w:lang w:val="en-US"/>
              </w:rPr>
              <w:t>Member</w:t>
            </w:r>
            <w:r w:rsidR="009D0F03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 of 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category “F1</w:t>
            </w:r>
            <w:r w:rsidR="00A542A7">
              <w:rPr>
                <w:rFonts w:ascii="Tahoma" w:hAnsi="Tahoma" w:cs="Tahoma"/>
                <w:sz w:val="20"/>
                <w:szCs w:val="22"/>
                <w:lang w:val="en-US"/>
              </w:rPr>
              <w:t>”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 xml:space="preserve"> and/or category </w:t>
            </w:r>
            <w:r w:rsidR="00A542A7">
              <w:rPr>
                <w:rFonts w:ascii="Tahoma" w:hAnsi="Tahoma" w:cs="Tahoma"/>
                <w:sz w:val="20"/>
                <w:szCs w:val="22"/>
                <w:lang w:val="en-US"/>
              </w:rPr>
              <w:t>“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F2”</w:t>
            </w:r>
          </w:p>
        </w:tc>
        <w:tc>
          <w:tcPr>
            <w:tcW w:w="2693" w:type="dxa"/>
            <w:vAlign w:val="center"/>
          </w:tcPr>
          <w:p w:rsidR="009E6A1C" w:rsidRPr="00394829" w:rsidRDefault="009D0F03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3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="009E6A1C" w:rsidRPr="00394829">
              <w:rPr>
                <w:rFonts w:ascii="Tahoma" w:hAnsi="Tahoma" w:cs="Tahoma"/>
                <w:sz w:val="20"/>
                <w:szCs w:val="22"/>
              </w:rPr>
              <w:t>000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="009E6A1C" w:rsidRPr="00394829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  <w:tr w:rsidR="009E6A1C" w:rsidRPr="000D0E9F" w:rsidTr="00DF37FA">
        <w:trPr>
          <w:trHeight w:val="456"/>
        </w:trPr>
        <w:tc>
          <w:tcPr>
            <w:tcW w:w="540" w:type="dxa"/>
            <w:vAlign w:val="center"/>
          </w:tcPr>
          <w:p w:rsidR="009E6A1C" w:rsidRPr="00394829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4.</w:t>
            </w:r>
          </w:p>
        </w:tc>
        <w:tc>
          <w:tcPr>
            <w:tcW w:w="6123" w:type="dxa"/>
            <w:vAlign w:val="center"/>
          </w:tcPr>
          <w:p w:rsidR="009E6A1C" w:rsidRPr="00394829" w:rsidRDefault="00A542A7" w:rsidP="00F047B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</w:t>
            </w:r>
            <w:r w:rsidR="003B5EAB">
              <w:rPr>
                <w:rFonts w:ascii="Tahoma" w:hAnsi="Tahoma" w:cs="Tahoma"/>
                <w:sz w:val="20"/>
                <w:szCs w:val="22"/>
                <w:lang w:val="en-US"/>
              </w:rPr>
              <w:t>Member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“T1” and/or category “T2”</w:t>
            </w:r>
          </w:p>
        </w:tc>
        <w:tc>
          <w:tcPr>
            <w:tcW w:w="2693" w:type="dxa"/>
            <w:vAlign w:val="center"/>
          </w:tcPr>
          <w:p w:rsidR="009E6A1C" w:rsidRPr="00394829" w:rsidRDefault="009E6A1C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1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,0</w:t>
            </w:r>
            <w:r w:rsidRPr="00394829">
              <w:rPr>
                <w:rFonts w:ascii="Tahoma" w:hAnsi="Tahoma" w:cs="Tahoma"/>
                <w:sz w:val="20"/>
                <w:szCs w:val="22"/>
              </w:rPr>
              <w:t>00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394829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  <w:tr w:rsidR="009D0F03" w:rsidRPr="000D0E9F" w:rsidTr="00DF37FA">
        <w:trPr>
          <w:trHeight w:val="456"/>
        </w:trPr>
        <w:tc>
          <w:tcPr>
            <w:tcW w:w="540" w:type="dxa"/>
            <w:vAlign w:val="center"/>
          </w:tcPr>
          <w:p w:rsidR="009D0F03" w:rsidRPr="009D0F03" w:rsidRDefault="009D0F03" w:rsidP="00B358DF">
            <w:pPr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5.</w:t>
            </w:r>
          </w:p>
        </w:tc>
        <w:tc>
          <w:tcPr>
            <w:tcW w:w="6123" w:type="dxa"/>
            <w:vAlign w:val="center"/>
          </w:tcPr>
          <w:p w:rsidR="009D0F03" w:rsidRPr="00394829" w:rsidRDefault="00A542A7" w:rsidP="00F047B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</w:t>
            </w:r>
            <w:r w:rsidR="003B5EAB">
              <w:rPr>
                <w:rFonts w:ascii="Tahoma" w:hAnsi="Tahoma" w:cs="Tahoma"/>
                <w:sz w:val="20"/>
                <w:szCs w:val="22"/>
                <w:lang w:val="en-US"/>
              </w:rPr>
              <w:t>Member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</w:t>
            </w:r>
            <w:r w:rsidR="00DD038F">
              <w:rPr>
                <w:rFonts w:ascii="Tahoma" w:hAnsi="Tahoma" w:cs="Tahoma"/>
                <w:sz w:val="20"/>
                <w:szCs w:val="22"/>
                <w:lang w:val="en-US"/>
              </w:rPr>
              <w:t>D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1” and/or category “</w:t>
            </w:r>
            <w:r w:rsidR="00DD038F">
              <w:rPr>
                <w:rFonts w:ascii="Tahoma" w:hAnsi="Tahoma" w:cs="Tahoma"/>
                <w:sz w:val="20"/>
                <w:szCs w:val="22"/>
                <w:lang w:val="en-US"/>
              </w:rPr>
              <w:t>D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2”</w:t>
            </w:r>
          </w:p>
        </w:tc>
        <w:tc>
          <w:tcPr>
            <w:tcW w:w="2693" w:type="dxa"/>
            <w:vAlign w:val="center"/>
          </w:tcPr>
          <w:p w:rsidR="009D0F03" w:rsidRPr="00394829" w:rsidRDefault="009D0F03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1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,0</w:t>
            </w:r>
            <w:r w:rsidRPr="00394829">
              <w:rPr>
                <w:rFonts w:ascii="Tahoma" w:hAnsi="Tahoma" w:cs="Tahoma"/>
                <w:sz w:val="20"/>
                <w:szCs w:val="22"/>
              </w:rPr>
              <w:t>00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394829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</w:tbl>
    <w:p w:rsidR="009E6A1C" w:rsidRPr="00394829" w:rsidRDefault="009E6A1C" w:rsidP="009E6A1C">
      <w:pPr>
        <w:jc w:val="both"/>
        <w:rPr>
          <w:rFonts w:ascii="Tahoma" w:hAnsi="Tahoma" w:cs="Tahoma"/>
          <w:color w:val="000000"/>
          <w:sz w:val="20"/>
          <w:szCs w:val="22"/>
        </w:rPr>
      </w:pPr>
    </w:p>
    <w:p w:rsidR="009E6A1C" w:rsidRPr="00394829" w:rsidRDefault="009E6A1C" w:rsidP="00394829">
      <w:pPr>
        <w:spacing w:after="120"/>
        <w:jc w:val="both"/>
        <w:rPr>
          <w:rFonts w:ascii="Tahoma" w:hAnsi="Tahoma" w:cs="Tahoma"/>
          <w:sz w:val="20"/>
          <w:szCs w:val="22"/>
          <w:lang w:val="en-US"/>
        </w:rPr>
      </w:pP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* This fee is charged on the Candidates for admission to Trading on the Moscow Exchange’s Derivatives Market (the Candidate, the Candidates) that are registered </w:t>
      </w:r>
      <w:r w:rsidR="00DD038F" w:rsidRPr="00394829">
        <w:rPr>
          <w:rFonts w:ascii="Tahoma" w:hAnsi="Tahoma" w:cs="Tahoma"/>
          <w:sz w:val="20"/>
          <w:szCs w:val="22"/>
          <w:lang w:val="en-US"/>
        </w:rPr>
        <w:t xml:space="preserve">as </w:t>
      </w:r>
      <w:r w:rsidR="00DD038F">
        <w:rPr>
          <w:rFonts w:ascii="Tahoma" w:hAnsi="Tahoma" w:cs="Tahoma"/>
          <w:sz w:val="20"/>
          <w:szCs w:val="22"/>
          <w:lang w:val="en-US"/>
        </w:rPr>
        <w:t xml:space="preserve">a </w:t>
      </w:r>
      <w:r w:rsidR="00DD038F" w:rsidRPr="000D0E9F">
        <w:rPr>
          <w:rFonts w:ascii="Tahoma" w:hAnsi="Tahoma" w:cs="Tahoma"/>
          <w:sz w:val="20"/>
          <w:szCs w:val="22"/>
          <w:lang w:val="en-US"/>
        </w:rPr>
        <w:t xml:space="preserve">Trading </w:t>
      </w:r>
      <w:r w:rsidR="003B5EAB">
        <w:rPr>
          <w:rFonts w:ascii="Tahoma" w:hAnsi="Tahoma" w:cs="Tahoma"/>
          <w:sz w:val="20"/>
          <w:szCs w:val="22"/>
          <w:lang w:val="en-US"/>
        </w:rPr>
        <w:t>Member</w:t>
      </w:r>
      <w:r w:rsidR="00DD038F" w:rsidRPr="000D0E9F">
        <w:rPr>
          <w:rFonts w:ascii="Tahoma" w:hAnsi="Tahoma" w:cs="Tahoma"/>
          <w:sz w:val="20"/>
          <w:szCs w:val="22"/>
          <w:lang w:val="en-US"/>
        </w:rPr>
        <w:t xml:space="preserve"> of </w:t>
      </w:r>
      <w:r w:rsidR="00DD038F">
        <w:rPr>
          <w:rFonts w:ascii="Tahoma" w:hAnsi="Tahoma" w:cs="Tahoma"/>
          <w:sz w:val="20"/>
          <w:szCs w:val="22"/>
          <w:lang w:val="en-US"/>
        </w:rPr>
        <w:t>category “O”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pursuant to provisions of the </w:t>
      </w:r>
      <w:r w:rsidR="000811C7"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Admission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Rules to </w:t>
      </w:r>
      <w:r w:rsidR="00B950B0" w:rsidRPr="00394829">
        <w:rPr>
          <w:rFonts w:ascii="Tahoma" w:hAnsi="Tahoma" w:cs="Tahoma"/>
          <w:color w:val="000000"/>
          <w:sz w:val="20"/>
          <w:szCs w:val="22"/>
          <w:lang w:val="en-US"/>
        </w:rPr>
        <w:t>Participation in O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rganized </w:t>
      </w:r>
      <w:r w:rsidR="00B950B0" w:rsidRPr="00394829">
        <w:rPr>
          <w:rFonts w:ascii="Tahoma" w:hAnsi="Tahoma" w:cs="Tahoma"/>
          <w:color w:val="000000"/>
          <w:sz w:val="20"/>
          <w:szCs w:val="22"/>
          <w:lang w:val="en-US"/>
        </w:rPr>
        <w:t>T</w:t>
      </w:r>
      <w:r w:rsidR="00DD038F">
        <w:rPr>
          <w:rFonts w:ascii="Tahoma" w:hAnsi="Tahoma" w:cs="Tahoma"/>
          <w:color w:val="000000"/>
          <w:sz w:val="20"/>
          <w:szCs w:val="22"/>
          <w:lang w:val="en-US"/>
        </w:rPr>
        <w:t>rading of the Moscow Exchange”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. Under these </w:t>
      </w:r>
      <w:r w:rsidR="00B950B0" w:rsidRPr="00394829">
        <w:rPr>
          <w:rFonts w:ascii="Tahoma" w:hAnsi="Tahoma" w:cs="Tahoma"/>
          <w:color w:val="000000"/>
          <w:sz w:val="20"/>
          <w:szCs w:val="22"/>
          <w:lang w:val="en-US"/>
        </w:rPr>
        <w:t>provisions,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the </w:t>
      </w:r>
      <w:r w:rsidR="00DD038F">
        <w:rPr>
          <w:rFonts w:ascii="Tahoma" w:hAnsi="Tahoma" w:cs="Tahoma"/>
          <w:color w:val="000000"/>
          <w:sz w:val="20"/>
          <w:szCs w:val="22"/>
          <w:lang w:val="en-US"/>
        </w:rPr>
        <w:t xml:space="preserve">admission 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fee paid by a Trading </w:t>
      </w:r>
      <w:r w:rsidR="003B5EAB">
        <w:rPr>
          <w:rFonts w:ascii="Tahoma" w:hAnsi="Tahoma" w:cs="Tahoma"/>
          <w:sz w:val="20"/>
          <w:szCs w:val="22"/>
          <w:lang w:val="en-US"/>
        </w:rPr>
        <w:t>Member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</w:t>
      </w:r>
      <w:r w:rsidR="00DD038F">
        <w:rPr>
          <w:rFonts w:ascii="Tahoma" w:hAnsi="Tahoma" w:cs="Tahoma"/>
          <w:sz w:val="20"/>
          <w:szCs w:val="22"/>
          <w:lang w:val="en-US"/>
        </w:rPr>
        <w:t xml:space="preserve">of a relevant category </w:t>
      </w:r>
      <w:r w:rsidRPr="00394829">
        <w:rPr>
          <w:rFonts w:ascii="Tahoma" w:hAnsi="Tahoma" w:cs="Tahoma"/>
          <w:sz w:val="20"/>
          <w:szCs w:val="22"/>
          <w:lang w:val="en-US"/>
        </w:rPr>
        <w:t>may be used to set</w:t>
      </w:r>
      <w:r w:rsidR="00881E89" w:rsidRPr="00394829">
        <w:rPr>
          <w:rFonts w:ascii="Tahoma" w:hAnsi="Tahoma" w:cs="Tahoma"/>
          <w:sz w:val="20"/>
          <w:szCs w:val="22"/>
          <w:lang w:val="en-US"/>
        </w:rPr>
        <w:t>-off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the </w:t>
      </w:r>
      <w:r w:rsidR="00731656" w:rsidRPr="00394829">
        <w:rPr>
          <w:rFonts w:ascii="Tahoma" w:hAnsi="Tahoma" w:cs="Tahoma"/>
          <w:sz w:val="20"/>
          <w:szCs w:val="22"/>
          <w:lang w:val="en-US"/>
        </w:rPr>
        <w:t xml:space="preserve">unpaid </w:t>
      </w:r>
      <w:r w:rsidR="00DD038F">
        <w:rPr>
          <w:rFonts w:ascii="Tahoma" w:hAnsi="Tahoma" w:cs="Tahoma"/>
          <w:sz w:val="20"/>
          <w:szCs w:val="22"/>
          <w:lang w:val="en-US"/>
        </w:rPr>
        <w:t>admission</w:t>
      </w:r>
      <w:r w:rsidR="00DD038F" w:rsidRPr="00394829">
        <w:rPr>
          <w:rFonts w:ascii="Tahoma" w:hAnsi="Tahoma" w:cs="Tahoma"/>
          <w:sz w:val="20"/>
          <w:szCs w:val="22"/>
          <w:lang w:val="en-US"/>
        </w:rPr>
        <w:t xml:space="preserve"> 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fee </w:t>
      </w:r>
      <w:r w:rsidR="00DD038F">
        <w:rPr>
          <w:rFonts w:ascii="Tahoma" w:hAnsi="Tahoma" w:cs="Tahoma"/>
          <w:sz w:val="20"/>
          <w:szCs w:val="22"/>
          <w:lang w:val="en-US"/>
        </w:rPr>
        <w:t>to be paid by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the Candidate. </w:t>
      </w:r>
    </w:p>
    <w:p w:rsidR="009E6A1C" w:rsidRPr="00394829" w:rsidRDefault="009E6A1C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The fee shall not be charged provided that registration is required in view of reorganization of the </w:t>
      </w:r>
      <w:r w:rsidR="008C57AE">
        <w:rPr>
          <w:rFonts w:ascii="Tahoma" w:hAnsi="Tahoma" w:cs="Tahoma"/>
          <w:color w:val="000000"/>
          <w:sz w:val="20"/>
          <w:szCs w:val="22"/>
          <w:lang w:val="en-US"/>
        </w:rPr>
        <w:t xml:space="preserve">Trading </w:t>
      </w:r>
      <w:r w:rsidR="003B5EAB">
        <w:rPr>
          <w:rFonts w:ascii="Tahoma" w:hAnsi="Tahoma" w:cs="Tahoma"/>
          <w:color w:val="000000"/>
          <w:sz w:val="20"/>
          <w:szCs w:val="22"/>
          <w:lang w:val="en-US"/>
        </w:rPr>
        <w:t>Member</w:t>
      </w:r>
      <w:r w:rsidR="008C57AE">
        <w:rPr>
          <w:rFonts w:ascii="Tahoma" w:hAnsi="Tahoma" w:cs="Tahoma"/>
          <w:color w:val="000000"/>
          <w:sz w:val="20"/>
          <w:szCs w:val="22"/>
          <w:lang w:val="en-US"/>
        </w:rPr>
        <w:t xml:space="preserve"> </w:t>
      </w:r>
      <w:r w:rsidR="00683733">
        <w:rPr>
          <w:rFonts w:ascii="Tahoma" w:hAnsi="Tahoma" w:cs="Tahoma"/>
          <w:color w:val="000000"/>
          <w:sz w:val="20"/>
          <w:szCs w:val="22"/>
          <w:lang w:val="en-US"/>
        </w:rPr>
        <w:t xml:space="preserve">of category “O”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or it is not charged on a Candidate being an affiliated company of the </w:t>
      </w:r>
      <w:r w:rsidR="008C57AE">
        <w:rPr>
          <w:rFonts w:ascii="Tahoma" w:hAnsi="Tahoma" w:cs="Tahoma"/>
          <w:color w:val="000000"/>
          <w:sz w:val="20"/>
          <w:szCs w:val="22"/>
          <w:lang w:val="en-US"/>
        </w:rPr>
        <w:t xml:space="preserve">Trading </w:t>
      </w:r>
      <w:r w:rsidR="003B5EAB">
        <w:rPr>
          <w:rFonts w:ascii="Tahoma" w:hAnsi="Tahoma" w:cs="Tahoma"/>
          <w:color w:val="000000"/>
          <w:sz w:val="20"/>
          <w:szCs w:val="22"/>
          <w:lang w:val="en-US"/>
        </w:rPr>
        <w:t>Member</w:t>
      </w:r>
      <w:r w:rsidR="008C57AE">
        <w:rPr>
          <w:rFonts w:ascii="Tahoma" w:hAnsi="Tahoma" w:cs="Tahoma"/>
          <w:color w:val="000000"/>
          <w:sz w:val="20"/>
          <w:szCs w:val="22"/>
          <w:lang w:val="en-US"/>
        </w:rPr>
        <w:t xml:space="preserve"> registered as </w:t>
      </w:r>
      <w:r w:rsidR="00881E89"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Trading </w:t>
      </w:r>
      <w:r w:rsidR="003B5EAB">
        <w:rPr>
          <w:rFonts w:ascii="Tahoma" w:hAnsi="Tahoma" w:cs="Tahoma"/>
          <w:color w:val="000000"/>
          <w:sz w:val="20"/>
          <w:szCs w:val="22"/>
          <w:lang w:val="en-US"/>
        </w:rPr>
        <w:t>Member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</w:t>
      </w:r>
      <w:r w:rsidR="00683733" w:rsidRPr="000D0E9F">
        <w:rPr>
          <w:rFonts w:ascii="Tahoma" w:hAnsi="Tahoma" w:cs="Tahoma"/>
          <w:sz w:val="20"/>
          <w:szCs w:val="22"/>
          <w:lang w:val="en-US"/>
        </w:rPr>
        <w:t xml:space="preserve">of </w:t>
      </w:r>
      <w:r w:rsidR="00683733">
        <w:rPr>
          <w:rFonts w:ascii="Tahoma" w:hAnsi="Tahoma" w:cs="Tahoma"/>
          <w:sz w:val="20"/>
          <w:szCs w:val="22"/>
          <w:lang w:val="en-US"/>
        </w:rPr>
        <w:t xml:space="preserve">category “O”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whose admission to trading is to be terminated, and in other events as determined by the Exchange. </w:t>
      </w:r>
    </w:p>
    <w:p w:rsidR="00D93E4E" w:rsidRDefault="009E6A1C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>The decisions on exempt</w:t>
      </w:r>
      <w:r w:rsidR="000D0E9F" w:rsidRPr="00394829">
        <w:rPr>
          <w:rFonts w:ascii="Tahoma" w:hAnsi="Tahoma" w:cs="Tahoma"/>
          <w:color w:val="000000"/>
          <w:sz w:val="20"/>
          <w:szCs w:val="22"/>
          <w:lang w:val="en-US"/>
        </w:rPr>
        <w:t>ion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from the additional fee for registration as a </w:t>
      </w:r>
      <w:r w:rsidR="000D0E9F"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Trading </w:t>
      </w:r>
      <w:r w:rsidR="003B5EAB">
        <w:rPr>
          <w:rFonts w:ascii="Tahoma" w:hAnsi="Tahoma" w:cs="Tahoma"/>
          <w:color w:val="000000"/>
          <w:sz w:val="20"/>
          <w:szCs w:val="22"/>
          <w:lang w:val="en-US"/>
        </w:rPr>
        <w:t>Member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</w:t>
      </w:r>
      <w:r w:rsidR="007163DF">
        <w:rPr>
          <w:rFonts w:ascii="Tahoma" w:hAnsi="Tahoma" w:cs="Tahoma"/>
          <w:color w:val="000000"/>
          <w:sz w:val="20"/>
          <w:szCs w:val="22"/>
          <w:lang w:val="en-US"/>
        </w:rPr>
        <w:t xml:space="preserve">of category “O”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>shall be made taking into account the recommendations of the Derivatives Market Committee.</w:t>
      </w:r>
    </w:p>
    <w:p w:rsidR="00D93E4E" w:rsidRDefault="00D93E4E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7163DF" w:rsidRDefault="007163DF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9E6A1C" w:rsidRDefault="009E6A1C" w:rsidP="00394829">
      <w:pPr>
        <w:spacing w:after="12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394829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 xml:space="preserve">SECTION II. </w:t>
      </w:r>
      <w:r w:rsidR="00292009" w:rsidRPr="00394829">
        <w:rPr>
          <w:rFonts w:ascii="Tahoma" w:hAnsi="Tahoma" w:cs="Tahoma"/>
          <w:b/>
          <w:bCs/>
          <w:sz w:val="22"/>
          <w:szCs w:val="22"/>
          <w:lang w:val="en-US"/>
        </w:rPr>
        <w:t xml:space="preserve">Service Fee </w:t>
      </w:r>
    </w:p>
    <w:p w:rsidR="00105430" w:rsidRPr="00B43F23" w:rsidRDefault="007163DF" w:rsidP="00B43F23">
      <w:pPr>
        <w:pStyle w:val="a6"/>
        <w:numPr>
          <w:ilvl w:val="0"/>
          <w:numId w:val="56"/>
        </w:numPr>
        <w:spacing w:after="120"/>
        <w:jc w:val="both"/>
        <w:rPr>
          <w:rFonts w:ascii="Tahoma" w:hAnsi="Tahoma" w:cs="Tahoma"/>
          <w:sz w:val="20"/>
          <w:lang w:val="en-US"/>
        </w:rPr>
      </w:pPr>
      <w:r w:rsidRPr="00B43F23">
        <w:rPr>
          <w:rFonts w:ascii="Tahoma" w:hAnsi="Tahoma" w:cs="Tahoma"/>
          <w:bCs/>
          <w:sz w:val="20"/>
          <w:szCs w:val="20"/>
          <w:lang w:val="en-US"/>
        </w:rPr>
        <w:t xml:space="preserve">For </w:t>
      </w:r>
      <w:r w:rsidRPr="00B43F23">
        <w:rPr>
          <w:rFonts w:ascii="Tahoma" w:hAnsi="Tahoma" w:cs="Tahoma"/>
          <w:color w:val="000000"/>
          <w:sz w:val="20"/>
          <w:szCs w:val="20"/>
          <w:lang w:val="en-US"/>
        </w:rPr>
        <w:t>Trading</w:t>
      </w:r>
      <w:r w:rsidRPr="00B43F23">
        <w:rPr>
          <w:rFonts w:ascii="Tahoma" w:hAnsi="Tahoma" w:cs="Tahoma"/>
          <w:color w:val="000000"/>
          <w:sz w:val="20"/>
          <w:lang w:val="en-US"/>
        </w:rPr>
        <w:t xml:space="preserve"> </w:t>
      </w:r>
      <w:r w:rsidR="003B5EAB">
        <w:rPr>
          <w:rFonts w:ascii="Tahoma" w:hAnsi="Tahoma" w:cs="Tahoma"/>
          <w:color w:val="000000"/>
          <w:sz w:val="20"/>
          <w:lang w:val="en-US"/>
        </w:rPr>
        <w:t>Members</w:t>
      </w:r>
      <w:r w:rsidRPr="00B43F23">
        <w:rPr>
          <w:rFonts w:ascii="Tahoma" w:hAnsi="Tahoma" w:cs="Tahoma"/>
          <w:color w:val="000000"/>
          <w:sz w:val="20"/>
          <w:lang w:val="en-US"/>
        </w:rPr>
        <w:t xml:space="preserve"> admitted to Trades as </w:t>
      </w:r>
      <w:r w:rsidRPr="00B43F23">
        <w:rPr>
          <w:rFonts w:ascii="Tahoma" w:hAnsi="Tahoma" w:cs="Tahoma"/>
          <w:sz w:val="20"/>
          <w:lang w:val="en-US"/>
        </w:rPr>
        <w:t xml:space="preserve">Trading </w:t>
      </w:r>
      <w:r w:rsidR="003B5EAB">
        <w:rPr>
          <w:rFonts w:ascii="Tahoma" w:hAnsi="Tahoma" w:cs="Tahoma"/>
          <w:sz w:val="20"/>
          <w:lang w:val="en-US"/>
        </w:rPr>
        <w:t>Members</w:t>
      </w:r>
      <w:r w:rsidRPr="00B43F23">
        <w:rPr>
          <w:rFonts w:ascii="Tahoma" w:hAnsi="Tahoma" w:cs="Tahoma"/>
          <w:sz w:val="20"/>
          <w:lang w:val="en-US"/>
        </w:rPr>
        <w:t xml:space="preserve"> of category “O” or categories “F1” or “F2” (hereinafter jointly referred to as Trading </w:t>
      </w:r>
      <w:r w:rsidR="003B5EAB">
        <w:rPr>
          <w:rFonts w:ascii="Tahoma" w:hAnsi="Tahoma" w:cs="Tahoma"/>
          <w:sz w:val="20"/>
          <w:lang w:val="en-US"/>
        </w:rPr>
        <w:t>Members</w:t>
      </w:r>
      <w:r w:rsidRPr="00B43F23">
        <w:rPr>
          <w:rFonts w:ascii="Tahoma" w:hAnsi="Tahoma" w:cs="Tahoma"/>
          <w:sz w:val="20"/>
          <w:lang w:val="en-US"/>
        </w:rPr>
        <w:t>)</w:t>
      </w:r>
      <w:r w:rsidR="00626C3B" w:rsidRPr="00B43F23">
        <w:rPr>
          <w:rFonts w:ascii="Tahoma" w:hAnsi="Tahoma" w:cs="Tahoma"/>
          <w:sz w:val="20"/>
          <w:lang w:val="en-US"/>
        </w:rPr>
        <w:t xml:space="preserve">, service fee for </w:t>
      </w:r>
      <w:r w:rsidR="00A648BB" w:rsidRPr="00B43F23">
        <w:rPr>
          <w:rFonts w:ascii="Tahoma" w:hAnsi="Tahoma" w:cs="Tahoma"/>
          <w:sz w:val="20"/>
          <w:lang w:val="en-US"/>
        </w:rPr>
        <w:t xml:space="preserve">the </w:t>
      </w:r>
      <w:r w:rsidR="00626C3B" w:rsidRPr="00B43F23">
        <w:rPr>
          <w:rFonts w:ascii="Tahoma" w:hAnsi="Tahoma" w:cs="Tahoma"/>
          <w:sz w:val="20"/>
          <w:lang w:val="en-US"/>
        </w:rPr>
        <w:t>operations on the Derivatives Market of the Moscow Exchange</w:t>
      </w:r>
      <w:r w:rsidR="00A648BB" w:rsidRPr="00B43F23">
        <w:rPr>
          <w:rFonts w:ascii="Tahoma" w:hAnsi="Tahoma" w:cs="Tahoma"/>
          <w:sz w:val="20"/>
          <w:lang w:val="en-US"/>
        </w:rPr>
        <w:t xml:space="preserve"> made during calendar quarter (hereinafter, Service fee</w:t>
      </w:r>
      <w:r w:rsidR="00B9172A" w:rsidRPr="00B43F23">
        <w:rPr>
          <w:rFonts w:ascii="Tahoma" w:hAnsi="Tahoma" w:cs="Tahoma"/>
          <w:sz w:val="20"/>
          <w:lang w:val="en-US"/>
        </w:rPr>
        <w:t>*</w:t>
      </w:r>
      <w:r w:rsidR="00A648BB" w:rsidRPr="00B43F23">
        <w:rPr>
          <w:rFonts w:ascii="Tahoma" w:hAnsi="Tahoma" w:cs="Tahoma"/>
          <w:sz w:val="20"/>
          <w:lang w:val="en-US"/>
        </w:rPr>
        <w:t>) shall be calculated as</w:t>
      </w:r>
      <w:r w:rsidR="00105430" w:rsidRPr="00B43F23">
        <w:rPr>
          <w:rFonts w:ascii="Tahoma" w:hAnsi="Tahoma" w:cs="Tahoma"/>
          <w:sz w:val="20"/>
          <w:lang w:val="en-US"/>
        </w:rPr>
        <w:t xml:space="preserve"> described below in 1.1 and 1.2: </w:t>
      </w:r>
      <w:r w:rsidR="00A648BB" w:rsidRPr="00B43F23">
        <w:rPr>
          <w:rFonts w:ascii="Tahoma" w:hAnsi="Tahoma" w:cs="Tahoma"/>
          <w:sz w:val="20"/>
          <w:lang w:val="en-US"/>
        </w:rPr>
        <w:t xml:space="preserve"> :</w:t>
      </w:r>
    </w:p>
    <w:p w:rsidR="00105430" w:rsidRPr="00B43F23" w:rsidRDefault="00C76DFC" w:rsidP="00B43F23">
      <w:pPr>
        <w:pStyle w:val="a6"/>
        <w:numPr>
          <w:ilvl w:val="1"/>
          <w:numId w:val="56"/>
        </w:numPr>
        <w:spacing w:after="120"/>
        <w:jc w:val="both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For Trading </w:t>
      </w:r>
      <w:r w:rsidR="003B5EAB">
        <w:rPr>
          <w:rFonts w:ascii="Tahoma" w:hAnsi="Tahoma" w:cs="Tahoma"/>
          <w:sz w:val="20"/>
          <w:lang w:val="en-US"/>
        </w:rPr>
        <w:t xml:space="preserve">Members </w:t>
      </w:r>
      <w:r>
        <w:rPr>
          <w:rFonts w:ascii="Tahoma" w:hAnsi="Tahoma" w:cs="Tahoma"/>
          <w:sz w:val="20"/>
          <w:lang w:val="en-US"/>
        </w:rPr>
        <w:t xml:space="preserve">which are Clearing </w:t>
      </w:r>
      <w:r w:rsidR="003B5EAB">
        <w:rPr>
          <w:rFonts w:ascii="Tahoma" w:hAnsi="Tahoma" w:cs="Tahoma"/>
          <w:sz w:val="20"/>
          <w:lang w:val="en-US"/>
        </w:rPr>
        <w:t xml:space="preserve">Members </w:t>
      </w:r>
      <w:r>
        <w:rPr>
          <w:rFonts w:ascii="Tahoma" w:hAnsi="Tahoma" w:cs="Tahoma"/>
          <w:sz w:val="20"/>
          <w:lang w:val="en-US"/>
        </w:rPr>
        <w:t>in one</w:t>
      </w:r>
      <w:r w:rsidR="00B56D9A">
        <w:rPr>
          <w:rFonts w:ascii="Tahoma" w:hAnsi="Tahoma" w:cs="Tahoma"/>
          <w:sz w:val="20"/>
          <w:lang w:val="en-US"/>
        </w:rPr>
        <w:t>,</w:t>
      </w:r>
      <w:r>
        <w:rPr>
          <w:rFonts w:ascii="Tahoma" w:hAnsi="Tahoma" w:cs="Tahoma"/>
          <w:sz w:val="20"/>
          <w:lang w:val="en-US"/>
        </w:rPr>
        <w:t xml:space="preserve"> using the formulae:</w:t>
      </w:r>
    </w:p>
    <w:p w:rsidR="00B56D9A" w:rsidRPr="00CB51AB" w:rsidRDefault="00284995" w:rsidP="00B43F23">
      <w:pPr>
        <w:pStyle w:val="Default"/>
        <w:spacing w:after="120"/>
        <w:ind w:firstLine="360"/>
        <w:jc w:val="both"/>
        <w:rPr>
          <w:rFonts w:ascii="Tahoma" w:hAnsi="Tahoma" w:cs="Tahoma"/>
          <w:sz w:val="20"/>
          <w:szCs w:val="20"/>
          <w:lang w:val="en-US"/>
        </w:rPr>
      </w:pP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SF = </w:t>
      </w:r>
      <w:r>
        <w:rPr>
          <w:rFonts w:ascii="Tahoma" w:hAnsi="Tahoma" w:cs="Tahoma"/>
          <w:b/>
          <w:bCs/>
          <w:sz w:val="20"/>
          <w:szCs w:val="20"/>
          <w:lang w:val="en-US"/>
        </w:rPr>
        <w:t>RUB</w:t>
      </w:r>
      <w:r w:rsidRPr="00284995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60</w:t>
      </w:r>
      <w:r w:rsidRPr="00284995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000</w:t>
      </w:r>
      <w:r w:rsidR="00B56D9A">
        <w:rPr>
          <w:rFonts w:ascii="Tahoma" w:hAnsi="Tahoma" w:cs="Tahoma"/>
          <w:b/>
          <w:bCs/>
          <w:sz w:val="20"/>
          <w:szCs w:val="20"/>
          <w:lang w:val="en-US"/>
        </w:rPr>
        <w:t>-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(Bfee + </w:t>
      </w:r>
      <w:r w:rsidRPr="00021403">
        <w:rPr>
          <w:rFonts w:ascii="Tahoma" w:hAnsi="Tahoma" w:cs="Tahoma"/>
          <w:b/>
          <w:bCs/>
          <w:sz w:val="20"/>
          <w:szCs w:val="20"/>
        </w:rPr>
        <w:t>К</w:t>
      </w:r>
      <w:r>
        <w:rPr>
          <w:rFonts w:ascii="Tahoma" w:hAnsi="Tahoma" w:cs="Tahoma"/>
          <w:b/>
          <w:bCs/>
          <w:sz w:val="20"/>
          <w:szCs w:val="20"/>
          <w:lang w:val="en-US"/>
        </w:rPr>
        <w:t>fee</w:t>
      </w:r>
      <w:r w:rsidR="00B9172A">
        <w:rPr>
          <w:rStyle w:val="af1"/>
          <w:rFonts w:ascii="Tahoma" w:hAnsi="Tahoma" w:cs="Tahoma"/>
          <w:b/>
          <w:bCs/>
          <w:sz w:val="20"/>
          <w:szCs w:val="20"/>
          <w:lang w:val="en-US"/>
        </w:rPr>
        <w:footnoteReference w:id="1"/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), </w:t>
      </w:r>
      <w:r>
        <w:rPr>
          <w:rFonts w:ascii="Tahoma" w:hAnsi="Tahoma" w:cs="Tahoma"/>
          <w:b/>
          <w:bCs/>
          <w:sz w:val="20"/>
          <w:szCs w:val="20"/>
          <w:lang w:val="en-US"/>
        </w:rPr>
        <w:t>where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:</w:t>
      </w:r>
    </w:p>
    <w:p w:rsidR="00284995" w:rsidRPr="00021403" w:rsidRDefault="00284995" w:rsidP="00284995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SF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</w:t>
      </w:r>
      <w:r>
        <w:rPr>
          <w:rFonts w:ascii="Tahoma" w:hAnsi="Tahoma" w:cs="Tahoma"/>
          <w:sz w:val="20"/>
          <w:szCs w:val="20"/>
          <w:lang w:val="en-US"/>
        </w:rPr>
        <w:t>Service fee, RUB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284995" w:rsidRPr="00CB51AB" w:rsidRDefault="00284995" w:rsidP="00284995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DD6682">
        <w:rPr>
          <w:rFonts w:ascii="Tahoma" w:hAnsi="Tahoma" w:cs="Tahoma"/>
          <w:b/>
          <w:bCs/>
          <w:sz w:val="20"/>
          <w:szCs w:val="20"/>
          <w:lang w:val="en-US"/>
        </w:rPr>
        <w:t>Bfee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– total amount of exchange fee paid by the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rading </w:t>
      </w:r>
      <w:r w:rsidR="003B5EAB">
        <w:rPr>
          <w:rFonts w:ascii="Tahoma" w:hAnsi="Tahoma" w:cs="Tahoma"/>
          <w:sz w:val="20"/>
          <w:szCs w:val="20"/>
          <w:lang w:val="en-US"/>
        </w:rPr>
        <w:t>Member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 during the calendar quarter, </w:t>
      </w:r>
      <w:r>
        <w:rPr>
          <w:rFonts w:ascii="Tahoma" w:hAnsi="Tahoma" w:cs="Tahoma"/>
          <w:sz w:val="20"/>
          <w:szCs w:val="20"/>
          <w:lang w:val="en-US"/>
        </w:rPr>
        <w:t>RUB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C509FF" w:rsidRPr="00DD6682" w:rsidRDefault="00284995" w:rsidP="00C509FF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К</w:t>
      </w:r>
      <w:r w:rsidR="00B9172A">
        <w:rPr>
          <w:rFonts w:ascii="Tahoma" w:hAnsi="Tahoma" w:cs="Tahoma"/>
          <w:b/>
          <w:bCs/>
          <w:sz w:val="20"/>
          <w:szCs w:val="20"/>
          <w:lang w:val="en-US"/>
        </w:rPr>
        <w:t>fee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– </w:t>
      </w:r>
      <w:r w:rsidR="00C509FF">
        <w:rPr>
          <w:rFonts w:ascii="Tahoma" w:hAnsi="Tahoma" w:cs="Tahoma"/>
          <w:sz w:val="20"/>
          <w:szCs w:val="20"/>
          <w:lang w:val="en-US"/>
        </w:rPr>
        <w:t>total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amount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of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B9172A">
        <w:rPr>
          <w:rFonts w:ascii="Tahoma" w:hAnsi="Tahoma" w:cs="Tahoma"/>
          <w:sz w:val="20"/>
          <w:szCs w:val="20"/>
          <w:lang w:val="en-US"/>
        </w:rPr>
        <w:t xml:space="preserve">Derivatives contracts </w:t>
      </w:r>
      <w:r w:rsidR="00C509FF">
        <w:rPr>
          <w:rFonts w:ascii="Tahoma" w:hAnsi="Tahoma" w:cs="Tahoma"/>
          <w:sz w:val="20"/>
          <w:szCs w:val="20"/>
          <w:lang w:val="en-US"/>
        </w:rPr>
        <w:t>clearing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fee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paid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by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the T</w:t>
      </w:r>
      <w:r w:rsidR="00C509FF" w:rsidRPr="00DD6682">
        <w:rPr>
          <w:rFonts w:ascii="Tahoma" w:hAnsi="Tahoma" w:cs="Tahoma"/>
          <w:sz w:val="20"/>
          <w:szCs w:val="20"/>
          <w:lang w:val="en-US"/>
        </w:rPr>
        <w:t xml:space="preserve">rading </w:t>
      </w:r>
      <w:r w:rsidR="003B5EAB">
        <w:rPr>
          <w:rFonts w:ascii="Tahoma" w:hAnsi="Tahoma" w:cs="Tahoma"/>
          <w:sz w:val="20"/>
          <w:szCs w:val="20"/>
          <w:lang w:val="en-US"/>
        </w:rPr>
        <w:t>Member</w:t>
      </w:r>
      <w:r w:rsidR="00C509FF" w:rsidRPr="00DD6682">
        <w:rPr>
          <w:rFonts w:ascii="Tahoma" w:hAnsi="Tahoma" w:cs="Tahoma"/>
          <w:sz w:val="20"/>
          <w:szCs w:val="20"/>
          <w:lang w:val="en-US"/>
        </w:rPr>
        <w:t xml:space="preserve"> during the calendar quarter, </w:t>
      </w:r>
      <w:r w:rsidR="00C509FF">
        <w:rPr>
          <w:rFonts w:ascii="Tahoma" w:hAnsi="Tahoma" w:cs="Tahoma"/>
          <w:sz w:val="20"/>
          <w:szCs w:val="20"/>
          <w:lang w:val="en-US"/>
        </w:rPr>
        <w:t>RUB</w:t>
      </w:r>
      <w:r w:rsidR="00C509FF" w:rsidRPr="00DD6682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284995" w:rsidRPr="00CB51AB" w:rsidRDefault="00C509FF" w:rsidP="00284995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In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case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sum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of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509FF">
        <w:rPr>
          <w:rFonts w:ascii="Tahoma" w:hAnsi="Tahoma" w:cs="Tahoma"/>
          <w:bCs/>
          <w:sz w:val="20"/>
          <w:szCs w:val="20"/>
          <w:lang w:val="en-US"/>
        </w:rPr>
        <w:t>Bfee</w:t>
      </w:r>
      <w:r w:rsidRPr="00CB51A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C509FF">
        <w:rPr>
          <w:rFonts w:ascii="Tahoma" w:hAnsi="Tahoma" w:cs="Tahoma"/>
          <w:bCs/>
          <w:sz w:val="20"/>
          <w:szCs w:val="20"/>
          <w:lang w:val="en-US"/>
        </w:rPr>
        <w:t>and</w:t>
      </w:r>
      <w:r w:rsidRPr="00CB51A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C509FF">
        <w:rPr>
          <w:rFonts w:ascii="Tahoma" w:hAnsi="Tahoma" w:cs="Tahoma"/>
          <w:bCs/>
          <w:sz w:val="20"/>
          <w:szCs w:val="20"/>
        </w:rPr>
        <w:t>К</w:t>
      </w:r>
      <w:r w:rsidRPr="00C509FF">
        <w:rPr>
          <w:rFonts w:ascii="Tahoma" w:hAnsi="Tahoma" w:cs="Tahoma"/>
          <w:bCs/>
          <w:sz w:val="20"/>
          <w:szCs w:val="20"/>
          <w:lang w:val="en-US"/>
        </w:rPr>
        <w:t>fee</w:t>
      </w:r>
      <w:r w:rsidRPr="00CB51A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paid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by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DD6682">
        <w:rPr>
          <w:rFonts w:ascii="Tahoma" w:hAnsi="Tahoma" w:cs="Tahoma"/>
          <w:sz w:val="20"/>
          <w:szCs w:val="20"/>
          <w:lang w:val="en-US"/>
        </w:rPr>
        <w:t>rading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3B5EAB">
        <w:rPr>
          <w:rFonts w:ascii="Tahoma" w:hAnsi="Tahoma" w:cs="Tahoma"/>
          <w:sz w:val="20"/>
          <w:szCs w:val="20"/>
          <w:lang w:val="en-US"/>
        </w:rPr>
        <w:t>Member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during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calendar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quarter</w:t>
      </w:r>
      <w:r>
        <w:rPr>
          <w:rFonts w:ascii="Tahoma" w:hAnsi="Tahoma" w:cs="Tahoma"/>
          <w:sz w:val="20"/>
          <w:szCs w:val="20"/>
          <w:lang w:val="en-US"/>
        </w:rPr>
        <w:t xml:space="preserve"> exceeds RUB 60,000</w:t>
      </w:r>
      <w:r w:rsidR="00284995" w:rsidRPr="00CB51AB">
        <w:rPr>
          <w:rFonts w:ascii="Tahoma" w:hAnsi="Tahoma" w:cs="Tahoma"/>
          <w:sz w:val="20"/>
          <w:szCs w:val="20"/>
          <w:lang w:val="en-US"/>
        </w:rPr>
        <w:t xml:space="preserve">, </w:t>
      </w:r>
      <w:r>
        <w:rPr>
          <w:rFonts w:ascii="Tahoma" w:hAnsi="Tahoma" w:cs="Tahoma"/>
          <w:sz w:val="20"/>
          <w:szCs w:val="20"/>
          <w:lang w:val="en-US"/>
        </w:rPr>
        <w:t xml:space="preserve">Service Fee </w:t>
      </w:r>
      <w:r w:rsidR="00AF2EA7">
        <w:rPr>
          <w:rFonts w:ascii="Tahoma" w:hAnsi="Tahoma" w:cs="Tahoma"/>
          <w:sz w:val="20"/>
          <w:szCs w:val="20"/>
          <w:lang w:val="en-US"/>
        </w:rPr>
        <w:t>is not charged</w:t>
      </w:r>
      <w:r w:rsidR="00284995" w:rsidRPr="00CB51AB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284995" w:rsidRPr="00B43F23" w:rsidRDefault="00B56D9A" w:rsidP="00B43F23">
      <w:pPr>
        <w:pStyle w:val="a6"/>
        <w:numPr>
          <w:ilvl w:val="1"/>
          <w:numId w:val="56"/>
        </w:numPr>
        <w:spacing w:after="12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For Trading </w:t>
      </w:r>
      <w:r w:rsidR="003B5EAB">
        <w:rPr>
          <w:rFonts w:ascii="Tahoma" w:hAnsi="Tahoma" w:cs="Tahoma"/>
          <w:sz w:val="20"/>
          <w:lang w:val="en-US"/>
        </w:rPr>
        <w:t xml:space="preserve">Members </w:t>
      </w:r>
      <w:r>
        <w:rPr>
          <w:rFonts w:ascii="Tahoma" w:hAnsi="Tahoma" w:cs="Tahoma"/>
          <w:sz w:val="20"/>
          <w:lang w:val="en-US"/>
        </w:rPr>
        <w:t xml:space="preserve">which are not Clearing </w:t>
      </w:r>
      <w:r w:rsidR="003B5EAB">
        <w:rPr>
          <w:rFonts w:ascii="Tahoma" w:hAnsi="Tahoma" w:cs="Tahoma"/>
          <w:sz w:val="20"/>
          <w:lang w:val="en-US"/>
        </w:rPr>
        <w:t xml:space="preserve">Members </w:t>
      </w:r>
      <w:r>
        <w:rPr>
          <w:rFonts w:ascii="Tahoma" w:hAnsi="Tahoma" w:cs="Tahoma"/>
          <w:sz w:val="20"/>
          <w:lang w:val="en-US"/>
        </w:rPr>
        <w:t>in one, using the formulae:</w:t>
      </w:r>
    </w:p>
    <w:p w:rsidR="00B56D9A" w:rsidRPr="00CB51AB" w:rsidRDefault="00B56D9A" w:rsidP="00B43F23">
      <w:pPr>
        <w:pStyle w:val="Default"/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SF = </w:t>
      </w:r>
      <w:r>
        <w:rPr>
          <w:rFonts w:ascii="Tahoma" w:hAnsi="Tahoma" w:cs="Tahoma"/>
          <w:b/>
          <w:bCs/>
          <w:sz w:val="20"/>
          <w:szCs w:val="20"/>
          <w:lang w:val="en-US"/>
        </w:rPr>
        <w:t>RUB</w:t>
      </w:r>
      <w:r w:rsidRPr="00284995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60</w:t>
      </w:r>
      <w:r w:rsidRPr="00284995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000</w:t>
      </w:r>
      <w:r>
        <w:rPr>
          <w:rFonts w:ascii="Tahoma" w:hAnsi="Tahoma" w:cs="Tahoma"/>
          <w:b/>
          <w:bCs/>
          <w:sz w:val="20"/>
          <w:szCs w:val="20"/>
          <w:lang w:val="en-US"/>
        </w:rPr>
        <w:t>-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Bfee, </w:t>
      </w:r>
      <w:r>
        <w:rPr>
          <w:rFonts w:ascii="Tahoma" w:hAnsi="Tahoma" w:cs="Tahoma"/>
          <w:b/>
          <w:bCs/>
          <w:sz w:val="20"/>
          <w:szCs w:val="20"/>
          <w:lang w:val="en-US"/>
        </w:rPr>
        <w:t>where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:</w:t>
      </w:r>
    </w:p>
    <w:p w:rsidR="00B56D9A" w:rsidRPr="00B43F23" w:rsidRDefault="00B56D9A" w:rsidP="00B43F23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B43F23">
        <w:rPr>
          <w:rFonts w:ascii="Tahoma" w:hAnsi="Tahoma" w:cs="Tahoma"/>
          <w:b/>
          <w:bCs/>
          <w:sz w:val="20"/>
          <w:szCs w:val="20"/>
          <w:lang w:val="en-US"/>
        </w:rPr>
        <w:t xml:space="preserve">SF </w:t>
      </w:r>
      <w:r w:rsidRPr="00B43F23">
        <w:rPr>
          <w:rFonts w:ascii="Tahoma" w:hAnsi="Tahoma" w:cs="Tahoma"/>
          <w:sz w:val="20"/>
          <w:szCs w:val="20"/>
          <w:lang w:val="en-US"/>
        </w:rPr>
        <w:t xml:space="preserve">– </w:t>
      </w:r>
      <w:r>
        <w:rPr>
          <w:rFonts w:ascii="Tahoma" w:hAnsi="Tahoma" w:cs="Tahoma"/>
          <w:sz w:val="20"/>
          <w:szCs w:val="20"/>
          <w:lang w:val="en-US"/>
        </w:rPr>
        <w:t>Service fee, RUB</w:t>
      </w:r>
      <w:r w:rsidRPr="00B43F23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B56D9A" w:rsidRPr="00CB51AB" w:rsidRDefault="00B56D9A" w:rsidP="00B43F23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DD6682">
        <w:rPr>
          <w:rFonts w:ascii="Tahoma" w:hAnsi="Tahoma" w:cs="Tahoma"/>
          <w:b/>
          <w:bCs/>
          <w:sz w:val="20"/>
          <w:szCs w:val="20"/>
          <w:lang w:val="en-US"/>
        </w:rPr>
        <w:t>Bfee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– total amount of exchange fee paid by the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rading </w:t>
      </w:r>
      <w:r w:rsidR="003B5EAB">
        <w:rPr>
          <w:rFonts w:ascii="Tahoma" w:hAnsi="Tahoma" w:cs="Tahoma"/>
          <w:sz w:val="20"/>
          <w:szCs w:val="20"/>
          <w:lang w:val="en-US"/>
        </w:rPr>
        <w:t>Member</w:t>
      </w:r>
      <w:r w:rsidR="003B5EAB" w:rsidRPr="00CB51AB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during the calendar quarter, </w:t>
      </w:r>
      <w:r>
        <w:rPr>
          <w:rFonts w:ascii="Tahoma" w:hAnsi="Tahoma" w:cs="Tahoma"/>
          <w:sz w:val="20"/>
          <w:szCs w:val="20"/>
          <w:lang w:val="en-US"/>
        </w:rPr>
        <w:t>RUB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B56D9A" w:rsidRPr="00CB51AB" w:rsidRDefault="00B56D9A" w:rsidP="00B56D9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In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case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sum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of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509FF">
        <w:rPr>
          <w:rFonts w:ascii="Tahoma" w:hAnsi="Tahoma" w:cs="Tahoma"/>
          <w:bCs/>
          <w:sz w:val="20"/>
          <w:szCs w:val="20"/>
          <w:lang w:val="en-US"/>
        </w:rPr>
        <w:t>Bfee</w:t>
      </w:r>
      <w:r w:rsidRPr="00CB51A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paid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by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DD6682">
        <w:rPr>
          <w:rFonts w:ascii="Tahoma" w:hAnsi="Tahoma" w:cs="Tahoma"/>
          <w:sz w:val="20"/>
          <w:szCs w:val="20"/>
          <w:lang w:val="en-US"/>
        </w:rPr>
        <w:t>rading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3B5EAB">
        <w:rPr>
          <w:rFonts w:ascii="Tahoma" w:hAnsi="Tahoma" w:cs="Tahoma"/>
          <w:sz w:val="20"/>
          <w:szCs w:val="20"/>
          <w:lang w:val="en-US"/>
        </w:rPr>
        <w:t>Member</w:t>
      </w:r>
      <w:r w:rsidR="003B5EAB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during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calendar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quarter</w:t>
      </w:r>
      <w:r>
        <w:rPr>
          <w:rFonts w:ascii="Tahoma" w:hAnsi="Tahoma" w:cs="Tahoma"/>
          <w:sz w:val="20"/>
          <w:szCs w:val="20"/>
          <w:lang w:val="en-US"/>
        </w:rPr>
        <w:t xml:space="preserve"> exceeds RUB 60,000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, </w:t>
      </w:r>
      <w:r>
        <w:rPr>
          <w:rFonts w:ascii="Tahoma" w:hAnsi="Tahoma" w:cs="Tahoma"/>
          <w:sz w:val="20"/>
          <w:szCs w:val="20"/>
          <w:lang w:val="en-US"/>
        </w:rPr>
        <w:t>Service Fee is not charged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411BBE" w:rsidRDefault="00411BBE" w:rsidP="00B43F23">
      <w:pPr>
        <w:pStyle w:val="a6"/>
        <w:numPr>
          <w:ilvl w:val="0"/>
          <w:numId w:val="56"/>
        </w:numPr>
        <w:spacing w:before="120"/>
        <w:jc w:val="both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Additional </w:t>
      </w:r>
      <w:r w:rsidR="00E358F1">
        <w:rPr>
          <w:rFonts w:ascii="Tahoma" w:hAnsi="Tahoma" w:cs="Tahoma"/>
          <w:sz w:val="20"/>
          <w:lang w:val="en-US"/>
        </w:rPr>
        <w:t>terms and conditions for Service Fee calculating and charging:</w:t>
      </w:r>
    </w:p>
    <w:p w:rsidR="009E6A1C" w:rsidRPr="00B43F23" w:rsidRDefault="00484BEB" w:rsidP="00B43F23">
      <w:pPr>
        <w:pStyle w:val="a6"/>
        <w:spacing w:before="120"/>
        <w:jc w:val="both"/>
        <w:rPr>
          <w:rFonts w:ascii="Tahoma" w:hAnsi="Tahoma" w:cs="Tahoma"/>
          <w:sz w:val="20"/>
          <w:lang w:val="en-US"/>
        </w:rPr>
      </w:pPr>
      <w:r w:rsidRPr="00B43F23">
        <w:rPr>
          <w:rFonts w:ascii="Tahoma" w:hAnsi="Tahoma" w:cs="Tahoma"/>
          <w:sz w:val="20"/>
          <w:lang w:val="en-US"/>
        </w:rPr>
        <w:t xml:space="preserve">Service Fee </w:t>
      </w:r>
      <w:r w:rsidR="009E6A1C" w:rsidRPr="00B43F23">
        <w:rPr>
          <w:rFonts w:ascii="Tahoma" w:hAnsi="Tahoma" w:cs="Tahoma"/>
          <w:sz w:val="20"/>
          <w:lang w:val="en-US"/>
        </w:rPr>
        <w:t xml:space="preserve">is payable as from the date of Exchange’s final decision on providing </w:t>
      </w:r>
      <w:r w:rsidR="009E59BD" w:rsidRPr="00B43F23">
        <w:rPr>
          <w:rFonts w:ascii="Tahoma" w:hAnsi="Tahoma" w:cs="Tahoma"/>
          <w:sz w:val="20"/>
          <w:lang w:val="en-US"/>
        </w:rPr>
        <w:t xml:space="preserve">for the Candidate </w:t>
      </w:r>
      <w:r w:rsidR="009E6A1C" w:rsidRPr="00B43F23">
        <w:rPr>
          <w:rFonts w:ascii="Tahoma" w:hAnsi="Tahoma" w:cs="Tahoma"/>
          <w:sz w:val="20"/>
          <w:lang w:val="en-US"/>
        </w:rPr>
        <w:t xml:space="preserve">access to </w:t>
      </w:r>
      <w:r w:rsidR="009E59BD" w:rsidRPr="00B43F23">
        <w:rPr>
          <w:rFonts w:ascii="Tahoma" w:hAnsi="Tahoma" w:cs="Tahoma"/>
          <w:sz w:val="20"/>
          <w:lang w:val="en-US"/>
        </w:rPr>
        <w:t>trading</w:t>
      </w:r>
      <w:r w:rsidR="009E6A1C" w:rsidRPr="00B43F23">
        <w:rPr>
          <w:rFonts w:ascii="Tahoma" w:hAnsi="Tahoma" w:cs="Tahoma"/>
          <w:sz w:val="20"/>
          <w:lang w:val="en-US"/>
        </w:rPr>
        <w:t>. Whereby</w:t>
      </w:r>
      <w:r w:rsidR="00771075" w:rsidRPr="00B43F23">
        <w:rPr>
          <w:rFonts w:ascii="Tahoma" w:hAnsi="Tahoma" w:cs="Tahoma"/>
          <w:sz w:val="20"/>
          <w:lang w:val="en-US"/>
        </w:rPr>
        <w:t>:</w:t>
      </w:r>
      <w:r w:rsidR="009E6A1C" w:rsidRPr="00B43F23">
        <w:rPr>
          <w:rFonts w:ascii="Tahoma" w:hAnsi="Tahoma" w:cs="Tahoma"/>
          <w:sz w:val="20"/>
          <w:lang w:val="en-US"/>
        </w:rPr>
        <w:t xml:space="preserve"> </w:t>
      </w:r>
    </w:p>
    <w:p w:rsidR="009E6A1C" w:rsidRPr="00394829" w:rsidRDefault="009E6A1C" w:rsidP="00DF37FA">
      <w:pPr>
        <w:numPr>
          <w:ilvl w:val="0"/>
          <w:numId w:val="48"/>
        </w:numPr>
        <w:spacing w:before="120"/>
        <w:ind w:left="1134"/>
        <w:jc w:val="both"/>
        <w:rPr>
          <w:rFonts w:ascii="Tahoma" w:hAnsi="Tahoma" w:cs="Tahoma"/>
          <w:sz w:val="20"/>
          <w:szCs w:val="22"/>
          <w:lang w:val="en-US"/>
        </w:rPr>
      </w:pPr>
      <w:r w:rsidRPr="00394829">
        <w:rPr>
          <w:rFonts w:ascii="Tahoma" w:hAnsi="Tahoma" w:cs="Tahoma"/>
          <w:sz w:val="20"/>
          <w:szCs w:val="22"/>
          <w:lang w:val="en-US"/>
        </w:rPr>
        <w:t>after the 15</w:t>
      </w:r>
      <w:r w:rsidRPr="00394829">
        <w:rPr>
          <w:rFonts w:ascii="Tahoma" w:hAnsi="Tahoma" w:cs="Tahoma"/>
          <w:sz w:val="20"/>
          <w:szCs w:val="22"/>
          <w:vertAlign w:val="superscript"/>
          <w:lang w:val="en-US"/>
        </w:rPr>
        <w:t>th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day of the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 xml:space="preserve"> 2</w:t>
      </w:r>
      <w:r w:rsidR="00771075" w:rsidRPr="00394829">
        <w:rPr>
          <w:rFonts w:ascii="Tahoma" w:hAnsi="Tahoma" w:cs="Tahoma"/>
          <w:sz w:val="20"/>
          <w:szCs w:val="22"/>
          <w:vertAlign w:val="superscript"/>
          <w:lang w:val="en-US"/>
        </w:rPr>
        <w:t>nd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 xml:space="preserve"> (</w:t>
      </w:r>
      <w:r w:rsidRPr="00394829">
        <w:rPr>
          <w:rFonts w:ascii="Tahoma" w:hAnsi="Tahoma" w:cs="Tahoma"/>
          <w:sz w:val="20"/>
          <w:szCs w:val="22"/>
          <w:lang w:val="en-US"/>
        </w:rPr>
        <w:t>second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)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month of a quarter</w:t>
      </w:r>
      <w:r w:rsidR="009E59BD">
        <w:rPr>
          <w:rFonts w:ascii="Tahoma" w:hAnsi="Tahoma" w:cs="Tahoma"/>
          <w:sz w:val="20"/>
          <w:szCs w:val="22"/>
          <w:lang w:val="en-US"/>
        </w:rPr>
        <w:t xml:space="preserve"> for calculation purposes RUB 30,000 instead of RUB 60,000 is used</w:t>
      </w:r>
      <w:r w:rsidRPr="00394829">
        <w:rPr>
          <w:rFonts w:ascii="Tahoma" w:hAnsi="Tahoma" w:cs="Tahoma"/>
          <w:sz w:val="20"/>
          <w:szCs w:val="22"/>
          <w:lang w:val="en-US"/>
        </w:rPr>
        <w:t>, and</w:t>
      </w:r>
    </w:p>
    <w:p w:rsidR="009E6A1C" w:rsidRPr="00394829" w:rsidRDefault="009E59BD" w:rsidP="00DF37FA">
      <w:pPr>
        <w:numPr>
          <w:ilvl w:val="0"/>
          <w:numId w:val="48"/>
        </w:numPr>
        <w:spacing w:before="120"/>
        <w:ind w:left="1134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 xml:space="preserve"> no Service F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ee is </w:t>
      </w:r>
      <w:r>
        <w:rPr>
          <w:rFonts w:ascii="Tahoma" w:hAnsi="Tahoma" w:cs="Tahoma"/>
          <w:sz w:val="20"/>
          <w:szCs w:val="22"/>
          <w:lang w:val="en-US"/>
        </w:rPr>
        <w:t>charged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>, if decision is taken after the 15</w:t>
      </w:r>
      <w:r w:rsidR="009E6A1C" w:rsidRPr="00394829">
        <w:rPr>
          <w:rFonts w:ascii="Tahoma" w:hAnsi="Tahoma" w:cs="Tahoma"/>
          <w:sz w:val="20"/>
          <w:szCs w:val="22"/>
          <w:vertAlign w:val="superscript"/>
          <w:lang w:val="en-US"/>
        </w:rPr>
        <w:t>th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 day of the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 xml:space="preserve"> 3</w:t>
      </w:r>
      <w:r w:rsidR="00771075" w:rsidRPr="00394829">
        <w:rPr>
          <w:rFonts w:ascii="Tahoma" w:hAnsi="Tahoma" w:cs="Tahoma"/>
          <w:sz w:val="20"/>
          <w:szCs w:val="22"/>
          <w:vertAlign w:val="superscript"/>
          <w:lang w:val="en-US"/>
        </w:rPr>
        <w:t>rd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 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(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>third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)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 month of the quarter;</w:t>
      </w:r>
    </w:p>
    <w:p w:rsidR="00D93E4E" w:rsidRPr="00B43F23" w:rsidRDefault="007B794B" w:rsidP="002D200D">
      <w:pPr>
        <w:spacing w:before="120"/>
        <w:jc w:val="both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US"/>
        </w:rPr>
        <w:t>Service</w:t>
      </w:r>
      <w:r w:rsidRPr="007B794B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Fee is charged either by the Clearing Centre within the period and in accordance with the terns and conditions set up in the Clearing Rules, or by issuing an invoice</w:t>
      </w:r>
      <w:r w:rsidRPr="00B43F23">
        <w:rPr>
          <w:rFonts w:ascii="Tahoma" w:hAnsi="Tahoma" w:cs="Tahoma"/>
          <w:sz w:val="20"/>
          <w:szCs w:val="20"/>
          <w:lang w:val="en-US"/>
        </w:rPr>
        <w:t>.</w:t>
      </w:r>
      <w:r w:rsidR="001C3F79" w:rsidRPr="00B43F23">
        <w:rPr>
          <w:rFonts w:ascii="Tahoma" w:hAnsi="Tahoma" w:cs="Tahoma"/>
          <w:bCs/>
          <w:sz w:val="20"/>
          <w:szCs w:val="20"/>
          <w:lang w:val="en-GB"/>
        </w:rPr>
        <w:t xml:space="preserve">Service fee is not charged on Trading Members for whom admission to trading </w:t>
      </w:r>
      <w:r w:rsidR="000741B6">
        <w:rPr>
          <w:rFonts w:ascii="Tahoma" w:hAnsi="Tahoma" w:cs="Tahoma"/>
          <w:bCs/>
          <w:sz w:val="20"/>
          <w:szCs w:val="20"/>
          <w:lang w:val="en-GB"/>
        </w:rPr>
        <w:t xml:space="preserve">on the Derivatives Market </w:t>
      </w:r>
      <w:r w:rsidR="00870533" w:rsidRPr="00B43F23">
        <w:rPr>
          <w:rFonts w:ascii="Tahoma" w:hAnsi="Tahoma" w:cs="Tahoma"/>
          <w:bCs/>
          <w:sz w:val="20"/>
          <w:szCs w:val="20"/>
          <w:lang w:val="en-GB"/>
        </w:rPr>
        <w:t>was terminated before the end of the reporting quarter.</w:t>
      </w:r>
    </w:p>
    <w:p w:rsidR="002D200D" w:rsidRDefault="000748E2" w:rsidP="002D200D">
      <w:pPr>
        <w:spacing w:before="120"/>
        <w:jc w:val="both"/>
        <w:rPr>
          <w:rFonts w:ascii="Tahoma" w:hAnsi="Tahoma" w:cs="Tahoma"/>
          <w:b/>
          <w:bCs/>
          <w:sz w:val="22"/>
          <w:szCs w:val="20"/>
          <w:lang w:val="en-GB"/>
        </w:rPr>
      </w:pPr>
      <w:r w:rsidRPr="00394829">
        <w:rPr>
          <w:rFonts w:ascii="Tahoma" w:hAnsi="Tahoma" w:cs="Tahoma"/>
          <w:b/>
          <w:bCs/>
          <w:sz w:val="22"/>
          <w:szCs w:val="20"/>
          <w:lang w:val="en-GB"/>
        </w:rPr>
        <w:t>SECTION</w:t>
      </w:r>
      <w:r w:rsidR="002D200D" w:rsidRPr="00394829">
        <w:rPr>
          <w:rFonts w:ascii="Tahoma" w:hAnsi="Tahoma" w:cs="Tahoma"/>
          <w:b/>
          <w:bCs/>
          <w:sz w:val="22"/>
          <w:szCs w:val="20"/>
          <w:lang w:val="en-GB"/>
        </w:rPr>
        <w:t xml:space="preserve"> </w:t>
      </w:r>
      <w:r w:rsidR="0038419E" w:rsidRPr="00394829">
        <w:rPr>
          <w:rFonts w:ascii="Tahoma" w:hAnsi="Tahoma" w:cs="Tahoma"/>
          <w:b/>
          <w:bCs/>
          <w:sz w:val="22"/>
          <w:szCs w:val="20"/>
          <w:lang w:val="en-GB"/>
        </w:rPr>
        <w:t>III</w:t>
      </w:r>
      <w:r w:rsidR="002D200D" w:rsidRPr="00394829">
        <w:rPr>
          <w:rFonts w:ascii="Tahoma" w:hAnsi="Tahoma" w:cs="Tahoma"/>
          <w:b/>
          <w:bCs/>
          <w:sz w:val="22"/>
          <w:szCs w:val="20"/>
          <w:lang w:val="en-GB"/>
        </w:rPr>
        <w:t xml:space="preserve">. </w:t>
      </w:r>
      <w:r w:rsidRPr="00394829">
        <w:rPr>
          <w:rFonts w:ascii="Tahoma" w:hAnsi="Tahoma" w:cs="Tahoma"/>
          <w:b/>
          <w:bCs/>
          <w:sz w:val="22"/>
          <w:szCs w:val="20"/>
          <w:lang w:val="en-GB"/>
        </w:rPr>
        <w:t>Exchange Fee</w:t>
      </w:r>
      <w:r w:rsidR="00456324" w:rsidRPr="00394829">
        <w:rPr>
          <w:rFonts w:ascii="Tahoma" w:hAnsi="Tahoma" w:cs="Tahoma"/>
          <w:b/>
          <w:bCs/>
          <w:sz w:val="22"/>
          <w:szCs w:val="20"/>
          <w:lang w:val="en-GB"/>
        </w:rPr>
        <w:t>s</w:t>
      </w:r>
    </w:p>
    <w:p w:rsidR="00714A9A" w:rsidRDefault="000748E2" w:rsidP="00714A9A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Exchange Fee for Futures Contracts</w:t>
      </w:r>
    </w:p>
    <w:p w:rsidR="00714A9A" w:rsidRPr="00394829" w:rsidRDefault="00A30880" w:rsidP="00C21041">
      <w:pPr>
        <w:spacing w:before="120"/>
        <w:jc w:val="both"/>
        <w:rPr>
          <w:rFonts w:ascii="Tahoma" w:hAnsi="Tahoma" w:cs="Tahoma"/>
          <w:sz w:val="20"/>
          <w:lang w:val="en-GB"/>
        </w:rPr>
      </w:pPr>
      <w:r w:rsidRPr="00394829">
        <w:rPr>
          <w:rFonts w:ascii="Tahoma" w:hAnsi="Tahoma" w:cs="Tahoma"/>
          <w:sz w:val="20"/>
          <w:lang w:val="en-GB"/>
        </w:rPr>
        <w:t xml:space="preserve">Exchange </w:t>
      </w:r>
      <w:r w:rsidR="00292009">
        <w:rPr>
          <w:rFonts w:ascii="Tahoma" w:hAnsi="Tahoma" w:cs="Tahoma"/>
          <w:sz w:val="20"/>
          <w:lang w:val="en-GB"/>
        </w:rPr>
        <w:t>F</w:t>
      </w:r>
      <w:r w:rsidRPr="00394829">
        <w:rPr>
          <w:rFonts w:ascii="Tahoma" w:hAnsi="Tahoma" w:cs="Tahoma"/>
          <w:sz w:val="20"/>
          <w:lang w:val="en-GB"/>
        </w:rPr>
        <w:t>ee for futures contracts (hereinafter</w:t>
      </w:r>
      <w:r w:rsidR="00292009">
        <w:rPr>
          <w:rFonts w:ascii="Tahoma" w:hAnsi="Tahoma" w:cs="Tahoma"/>
          <w:sz w:val="20"/>
          <w:lang w:val="en-GB"/>
        </w:rPr>
        <w:t>,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292009">
        <w:rPr>
          <w:rFonts w:ascii="Tahoma" w:hAnsi="Tahoma" w:cs="Tahoma"/>
          <w:sz w:val="20"/>
          <w:lang w:val="en-GB"/>
        </w:rPr>
        <w:t>the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292009">
        <w:rPr>
          <w:rFonts w:ascii="Tahoma" w:hAnsi="Tahoma" w:cs="Tahoma"/>
          <w:sz w:val="20"/>
          <w:lang w:val="en-GB"/>
        </w:rPr>
        <w:t>“F</w:t>
      </w:r>
      <w:r w:rsidRPr="00394829">
        <w:rPr>
          <w:rFonts w:ascii="Tahoma" w:hAnsi="Tahoma" w:cs="Tahoma"/>
          <w:sz w:val="20"/>
          <w:lang w:val="en-GB"/>
        </w:rPr>
        <w:t>utures</w:t>
      </w:r>
      <w:r w:rsidR="00292009">
        <w:rPr>
          <w:rFonts w:ascii="Tahoma" w:hAnsi="Tahoma" w:cs="Tahoma"/>
          <w:sz w:val="20"/>
          <w:lang w:val="en-GB"/>
        </w:rPr>
        <w:t>”</w:t>
      </w:r>
      <w:r w:rsidRPr="00394829">
        <w:rPr>
          <w:rFonts w:ascii="Tahoma" w:hAnsi="Tahoma" w:cs="Tahoma"/>
          <w:sz w:val="20"/>
          <w:lang w:val="en-GB"/>
        </w:rPr>
        <w:t xml:space="preserve">) </w:t>
      </w:r>
      <w:r w:rsidR="00B729E6">
        <w:rPr>
          <w:rFonts w:ascii="Tahoma" w:hAnsi="Tahoma" w:cs="Tahoma"/>
          <w:sz w:val="20"/>
          <w:lang w:val="en-GB"/>
        </w:rPr>
        <w:t>entered into</w:t>
      </w:r>
      <w:r w:rsidR="00290AAA" w:rsidRPr="00394829">
        <w:rPr>
          <w:rFonts w:ascii="Tahoma" w:hAnsi="Tahoma" w:cs="Tahoma"/>
          <w:sz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lang w:val="en-GB"/>
        </w:rPr>
        <w:t>on</w:t>
      </w:r>
      <w:r w:rsidR="00B729E6">
        <w:rPr>
          <w:rFonts w:ascii="Tahoma" w:hAnsi="Tahoma" w:cs="Tahoma"/>
          <w:sz w:val="20"/>
          <w:lang w:val="en-GB"/>
        </w:rPr>
        <w:t xml:space="preserve"> the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290AAA">
        <w:rPr>
          <w:rFonts w:ascii="Tahoma" w:hAnsi="Tahoma" w:cs="Tahoma"/>
          <w:sz w:val="20"/>
          <w:lang w:val="en-GB"/>
        </w:rPr>
        <w:t>basis of order book or</w:t>
      </w:r>
      <w:r w:rsidR="00571EE7" w:rsidRPr="00394829">
        <w:rPr>
          <w:rFonts w:ascii="Tahoma" w:hAnsi="Tahoma" w:cs="Tahoma"/>
          <w:sz w:val="20"/>
          <w:lang w:val="en-GB"/>
        </w:rPr>
        <w:t xml:space="preserve"> </w:t>
      </w:r>
      <w:r w:rsidR="00EA0E0F">
        <w:rPr>
          <w:rFonts w:ascii="Tahoma" w:hAnsi="Tahoma" w:cs="Tahoma"/>
          <w:sz w:val="20"/>
          <w:lang w:val="en-GB"/>
        </w:rPr>
        <w:t>negotiated</w:t>
      </w:r>
      <w:r w:rsidR="00571EE7" w:rsidRPr="00394829">
        <w:rPr>
          <w:rFonts w:ascii="Tahoma" w:hAnsi="Tahoma" w:cs="Tahoma"/>
          <w:sz w:val="20"/>
          <w:lang w:val="en-GB"/>
        </w:rPr>
        <w:t xml:space="preserve"> </w:t>
      </w:r>
      <w:r w:rsidR="00595BA7">
        <w:rPr>
          <w:rFonts w:ascii="Tahoma" w:hAnsi="Tahoma" w:cs="Tahoma"/>
          <w:sz w:val="20"/>
          <w:lang w:val="en-GB"/>
        </w:rPr>
        <w:t>orders</w:t>
      </w:r>
      <w:r w:rsidR="00571EE7" w:rsidRPr="00394829">
        <w:rPr>
          <w:rFonts w:ascii="Tahoma" w:hAnsi="Tahoma" w:cs="Tahoma"/>
          <w:sz w:val="20"/>
          <w:lang w:val="en-GB"/>
        </w:rPr>
        <w:t xml:space="preserve"> is </w:t>
      </w:r>
      <w:r w:rsidR="00292009">
        <w:rPr>
          <w:rFonts w:ascii="Tahoma" w:hAnsi="Tahoma" w:cs="Tahoma"/>
          <w:sz w:val="20"/>
          <w:lang w:val="en-GB"/>
        </w:rPr>
        <w:t>calculated</w:t>
      </w:r>
      <w:r w:rsidR="00292009" w:rsidRPr="00394829">
        <w:rPr>
          <w:rFonts w:ascii="Tahoma" w:hAnsi="Tahoma" w:cs="Tahoma"/>
          <w:sz w:val="20"/>
          <w:lang w:val="en-GB"/>
        </w:rPr>
        <w:t xml:space="preserve"> </w:t>
      </w:r>
      <w:r w:rsidR="00571EE7" w:rsidRPr="00394829">
        <w:rPr>
          <w:rFonts w:ascii="Tahoma" w:hAnsi="Tahoma" w:cs="Tahoma"/>
          <w:sz w:val="20"/>
          <w:lang w:val="en-GB"/>
        </w:rPr>
        <w:t>according to the following formula</w:t>
      </w:r>
      <w:r w:rsidR="00714A9A" w:rsidRPr="00394829">
        <w:rPr>
          <w:rFonts w:ascii="Tahoma" w:hAnsi="Tahoma" w:cs="Tahoma"/>
          <w:sz w:val="20"/>
          <w:lang w:val="en-GB"/>
        </w:rPr>
        <w:t>:</w:t>
      </w:r>
    </w:p>
    <w:p w:rsidR="00714A9A" w:rsidRPr="000B7A6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val="en-GB"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GB" w:eastAsia="ru-RU"/>
            </w:rPr>
            <m:t>FutFee=Round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val="en-GB"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GB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GB" w:eastAsia="ru-RU"/>
                    </w:rPr>
                    <m:t>FutPrice×Round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GB"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GB"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GB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GB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GB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GB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GB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GB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GB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val="en-GB"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val="en-GB"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val="en-GB"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val="en-GB" w:eastAsia="ru-RU"/>
                </w:rPr>
              </m:ctrlPr>
            </m:e>
          </m:d>
        </m:oMath>
      </m:oMathPara>
    </w:p>
    <w:p w:rsidR="00714A9A" w:rsidRPr="000B7A6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val="en-GB"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GB" w:eastAsia="ru-RU"/>
            </w:rPr>
            <m:t>FutFee ≥0,01 RUB.</m:t>
          </m:r>
        </m:oMath>
      </m:oMathPara>
    </w:p>
    <w:p w:rsidR="00714A9A" w:rsidRPr="00394829" w:rsidRDefault="00571EE7" w:rsidP="00714A9A">
      <w:p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Parameters</w:t>
      </w:r>
      <w:r w:rsidR="00714A9A" w:rsidRPr="00394829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54"/>
      </w:tblGrid>
      <w:tr w:rsidR="00714A9A" w:rsidRPr="00B43F23" w:rsidTr="00AF6685">
        <w:tc>
          <w:tcPr>
            <w:tcW w:w="14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:rsidR="00714A9A" w:rsidRPr="00394829" w:rsidRDefault="00D15222" w:rsidP="0070747C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ize of </w:t>
            </w:r>
            <w:r w:rsidR="0070747C" w:rsidRPr="00394829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utures </w:t>
            </w:r>
            <w:r w:rsidR="0070747C" w:rsidRPr="00394829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xchange </w:t>
            </w:r>
            <w:r w:rsidR="0070747C" w:rsidRPr="00394829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ee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R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>UB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 w:rsidR="00595BA7" w:rsidRPr="00394829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43F23" w:rsidTr="00AF6685">
        <w:tc>
          <w:tcPr>
            <w:tcW w:w="14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:rsidR="00714A9A" w:rsidRPr="00394829" w:rsidRDefault="0070747C" w:rsidP="007B622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utures price set under</w:t>
            </w:r>
            <w:r w:rsidR="00571EE7" w:rsidRPr="000F39EE">
              <w:rPr>
                <w:rFonts w:ascii="Tahoma" w:hAnsi="Tahoma" w:cs="Tahoma"/>
                <w:sz w:val="22"/>
                <w:szCs w:val="20"/>
                <w:lang w:val="en-GB"/>
              </w:rPr>
              <w:t xml:space="preserve">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Fee Schedule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subparas</w:t>
            </w:r>
            <w:r w:rsidR="007D7EB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3.</w:t>
            </w:r>
            <w:r w:rsidR="00C21041" w:rsidRPr="00394829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  <w:r w:rsidR="007D7EB7" w:rsidRPr="00394829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  <w:r w:rsidR="00F479AF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. – 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3.4.3</w:t>
            </w:r>
            <w:r w:rsidR="00F479AF" w:rsidRPr="00394829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="007D7EB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03CC8" w:rsidRPr="00394829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units of 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measure 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>of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>Futures</w:t>
            </w:r>
            <w:r w:rsidR="000B3CC7" w:rsidRPr="000B3CC7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>order’s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price</w:t>
            </w:r>
            <w:r w:rsidR="007473A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7B6228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F4261F">
              <w:rPr>
                <w:rFonts w:ascii="Tahoma" w:hAnsi="Tahoma" w:cs="Tahoma"/>
                <w:sz w:val="20"/>
                <w:szCs w:val="20"/>
                <w:lang w:val="en-GB"/>
              </w:rPr>
              <w:t>under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</w:t>
            </w:r>
            <w:r w:rsidR="00154CC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 xml:space="preserve">Futures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</w:t>
            </w:r>
            <w:r w:rsidR="00E15018" w:rsidRPr="00394829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303CC8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 w:rsidR="00595BA7" w:rsidRPr="00394829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  <w:r w:rsidR="00714A9A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267606" w:rsidRPr="00B43F23" w:rsidTr="00AF6685">
        <w:tc>
          <w:tcPr>
            <w:tcW w:w="1415" w:type="dxa"/>
            <w:vAlign w:val="center"/>
          </w:tcPr>
          <w:p w:rsidR="00267606" w:rsidRPr="00267606" w:rsidRDefault="00267606" w:rsidP="00267606">
            <w:pPr>
              <w:jc w:val="both"/>
              <w:rPr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:rsidR="00267606" w:rsidRPr="00267606" w:rsidDel="0070747C" w:rsidRDefault="00267606" w:rsidP="0095150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F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>utures</w:t>
            </w:r>
            <w:r w:rsidR="0098274E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minimal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price interval (hereinafter, the “tick”)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set </w:t>
            </w:r>
            <w:r w:rsidR="004D3A5A" w:rsidRPr="00394829">
              <w:rPr>
                <w:rFonts w:ascii="Tahoma" w:hAnsi="Tahoma" w:cs="Tahoma"/>
                <w:sz w:val="20"/>
                <w:szCs w:val="20"/>
                <w:lang w:val="en-US"/>
              </w:rPr>
              <w:t>forth in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4D3A5A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 w:rsidR="00951508">
              <w:rPr>
                <w:rFonts w:ascii="Tahoma" w:hAnsi="Tahoma" w:cs="Tahoma"/>
                <w:sz w:val="20"/>
                <w:szCs w:val="20"/>
                <w:lang w:val="en-GB"/>
              </w:rPr>
              <w:lastRenderedPageBreak/>
              <w:t>Futures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Specifications;</w:t>
            </w:r>
          </w:p>
        </w:tc>
      </w:tr>
      <w:tr w:rsidR="00267606" w:rsidRPr="00B43F23" w:rsidTr="00D15222">
        <w:trPr>
          <w:trHeight w:val="667"/>
        </w:trPr>
        <w:tc>
          <w:tcPr>
            <w:tcW w:w="1415" w:type="dxa"/>
            <w:vAlign w:val="center"/>
          </w:tcPr>
          <w:p w:rsidR="00267606" w:rsidRPr="000B7A63" w:rsidRDefault="00267606" w:rsidP="00267606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w:lastRenderedPageBreak/>
                  <m:t>W(f)</m:t>
                </m:r>
              </m:oMath>
            </m:oMathPara>
          </w:p>
        </w:tc>
        <w:tc>
          <w:tcPr>
            <w:tcW w:w="8054" w:type="dxa"/>
          </w:tcPr>
          <w:p w:rsidR="00267606" w:rsidRPr="00394829" w:rsidRDefault="007E47FB" w:rsidP="000B3CC7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value of a tick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set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forth in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relevant 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>Futures</w:t>
            </w:r>
            <w:r w:rsidR="000B3CC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Specifications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RUB);</w:t>
            </w:r>
          </w:p>
        </w:tc>
      </w:tr>
      <w:tr w:rsidR="00267606" w:rsidRPr="00B43F23" w:rsidTr="00AF6685">
        <w:tc>
          <w:tcPr>
            <w:tcW w:w="1415" w:type="dxa"/>
            <w:vAlign w:val="center"/>
          </w:tcPr>
          <w:p w:rsidR="00267606" w:rsidRPr="000B7A63" w:rsidRDefault="00267606" w:rsidP="00267606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:rsidR="00267606" w:rsidRPr="00394829" w:rsidRDefault="00267606" w:rsidP="002B3451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math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ematical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rounding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to the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precision;</w:t>
            </w:r>
          </w:p>
        </w:tc>
      </w:tr>
      <w:tr w:rsidR="00267606" w:rsidRPr="009E2661" w:rsidTr="00AF6685">
        <w:tc>
          <w:tcPr>
            <w:tcW w:w="1415" w:type="dxa"/>
            <w:vAlign w:val="center"/>
          </w:tcPr>
          <w:p w:rsidR="00267606" w:rsidRPr="000B7A63" w:rsidRDefault="00267606" w:rsidP="00267606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:rsidR="009B1512" w:rsidRPr="00394829" w:rsidRDefault="00EF16A3" w:rsidP="00267606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Futures’</w:t>
            </w:r>
            <w:r w:rsidR="002408C8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67606">
              <w:rPr>
                <w:rFonts w:ascii="Tahoma" w:hAnsi="Tahoma" w:cs="Tahoma"/>
                <w:sz w:val="20"/>
                <w:szCs w:val="20"/>
                <w:lang w:val="en-GB"/>
              </w:rPr>
              <w:t>fee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base rate for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the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roup of 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 xml:space="preserve">Derivative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C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ontracts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 xml:space="preserve"> (hereinafter, the “Group of Contracts”)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to which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</w:t>
            </w:r>
            <w:r w:rsidR="009B1512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utures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 xml:space="preserve">relates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 the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Fee Schedule</w:t>
            </w:r>
            <w:r w:rsidR="002B3451" w:rsidRPr="00394829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2B345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para 3.5.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basis points)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  <w:p w:rsidR="00267606" w:rsidRPr="000B7A63" w:rsidRDefault="00267606" w:rsidP="00267606">
            <w:pPr>
              <w:jc w:val="both"/>
              <w:rPr>
                <w:rFonts w:ascii="Tahoma" w:hAnsi="Tahoma" w:cs="Tahoma"/>
                <w:sz w:val="22"/>
                <w:szCs w:val="20"/>
                <w:lang w:val="en-GB"/>
              </w:rPr>
            </w:pPr>
          </w:p>
        </w:tc>
      </w:tr>
    </w:tbl>
    <w:p w:rsidR="00714A9A" w:rsidRPr="00394829" w:rsidRDefault="00E56561" w:rsidP="00C21041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Exchange Fees for </w:t>
      </w:r>
      <w:r w:rsidR="00A63692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Futures-Style </w:t>
      </w: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Option</w:t>
      </w:r>
      <w:r w:rsidR="00A63692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s</w:t>
      </w: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Contracts</w:t>
      </w:r>
    </w:p>
    <w:p w:rsidR="00714A9A" w:rsidRPr="00394829" w:rsidRDefault="00E56561" w:rsidP="00C21041">
      <w:pPr>
        <w:spacing w:before="120"/>
        <w:jc w:val="both"/>
        <w:rPr>
          <w:rFonts w:ascii="Tahoma" w:hAnsi="Tahoma" w:cs="Tahoma"/>
          <w:sz w:val="20"/>
          <w:lang w:val="en-GB"/>
        </w:rPr>
      </w:pPr>
      <w:r w:rsidRPr="00394829">
        <w:rPr>
          <w:rFonts w:ascii="Tahoma" w:hAnsi="Tahoma" w:cs="Tahoma"/>
          <w:sz w:val="20"/>
          <w:lang w:val="en-GB"/>
        </w:rPr>
        <w:t xml:space="preserve">Exchange </w:t>
      </w:r>
      <w:r w:rsidR="00FF3CED">
        <w:rPr>
          <w:rFonts w:ascii="Tahoma" w:hAnsi="Tahoma" w:cs="Tahoma"/>
          <w:sz w:val="20"/>
          <w:lang w:val="en-GB"/>
        </w:rPr>
        <w:t>F</w:t>
      </w:r>
      <w:r w:rsidRPr="00394829">
        <w:rPr>
          <w:rFonts w:ascii="Tahoma" w:hAnsi="Tahoma" w:cs="Tahoma"/>
          <w:sz w:val="20"/>
          <w:lang w:val="en-GB"/>
        </w:rPr>
        <w:t xml:space="preserve">ee for </w:t>
      </w:r>
      <w:r w:rsidR="00FF3CED">
        <w:rPr>
          <w:rFonts w:ascii="Tahoma" w:hAnsi="Tahoma" w:cs="Tahoma"/>
          <w:sz w:val="20"/>
          <w:lang w:val="en-GB"/>
        </w:rPr>
        <w:t>Future-Style</w:t>
      </w:r>
      <w:r w:rsidR="00FF3CED"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O</w:t>
      </w:r>
      <w:r w:rsidRPr="00394829">
        <w:rPr>
          <w:rFonts w:ascii="Tahoma" w:hAnsi="Tahoma" w:cs="Tahoma"/>
          <w:sz w:val="20"/>
          <w:lang w:val="en-GB"/>
        </w:rPr>
        <w:t>ption</w:t>
      </w:r>
      <w:r w:rsidR="00FF3CED">
        <w:rPr>
          <w:rFonts w:ascii="Tahoma" w:hAnsi="Tahoma" w:cs="Tahoma"/>
          <w:sz w:val="20"/>
          <w:lang w:val="en-GB"/>
        </w:rPr>
        <w:t>s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C</w:t>
      </w:r>
      <w:r w:rsidRPr="00394829">
        <w:rPr>
          <w:rFonts w:ascii="Tahoma" w:hAnsi="Tahoma" w:cs="Tahoma"/>
          <w:sz w:val="20"/>
          <w:lang w:val="en-GB"/>
        </w:rPr>
        <w:t>ontracts (hereinafter</w:t>
      </w:r>
      <w:r w:rsidR="00FF3CED">
        <w:rPr>
          <w:rFonts w:ascii="Tahoma" w:hAnsi="Tahoma" w:cs="Tahoma"/>
          <w:sz w:val="20"/>
          <w:lang w:val="en-GB"/>
        </w:rPr>
        <w:t>,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the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“O</w:t>
      </w:r>
      <w:r w:rsidRPr="00394829">
        <w:rPr>
          <w:rFonts w:ascii="Tahoma" w:hAnsi="Tahoma" w:cs="Tahoma"/>
          <w:sz w:val="20"/>
          <w:lang w:val="en-GB"/>
        </w:rPr>
        <w:t>ptions</w:t>
      </w:r>
      <w:r w:rsidR="00FF3CED">
        <w:rPr>
          <w:rFonts w:ascii="Tahoma" w:hAnsi="Tahoma" w:cs="Tahoma"/>
          <w:sz w:val="20"/>
          <w:lang w:val="en-GB"/>
        </w:rPr>
        <w:t>”</w:t>
      </w:r>
      <w:r w:rsidRPr="00394829">
        <w:rPr>
          <w:rFonts w:ascii="Tahoma" w:hAnsi="Tahoma" w:cs="Tahoma"/>
          <w:sz w:val="20"/>
          <w:lang w:val="en-GB"/>
        </w:rPr>
        <w:t xml:space="preserve">) </w:t>
      </w:r>
      <w:r w:rsidR="00863667">
        <w:rPr>
          <w:rFonts w:ascii="Tahoma" w:hAnsi="Tahoma" w:cs="Tahoma"/>
          <w:sz w:val="20"/>
          <w:lang w:val="en-GB"/>
        </w:rPr>
        <w:t>entered into</w:t>
      </w:r>
      <w:r w:rsidR="00FF3CED">
        <w:rPr>
          <w:rFonts w:ascii="Tahoma" w:hAnsi="Tahoma" w:cs="Tahoma"/>
          <w:sz w:val="20"/>
          <w:lang w:val="en-GB"/>
        </w:rPr>
        <w:t xml:space="preserve"> on </w:t>
      </w:r>
      <w:r w:rsidR="00863667">
        <w:rPr>
          <w:rFonts w:ascii="Tahoma" w:hAnsi="Tahoma" w:cs="Tahoma"/>
          <w:sz w:val="20"/>
          <w:lang w:val="en-GB"/>
        </w:rPr>
        <w:t xml:space="preserve">the </w:t>
      </w:r>
      <w:r w:rsidRPr="00394829">
        <w:rPr>
          <w:rFonts w:ascii="Tahoma" w:hAnsi="Tahoma" w:cs="Tahoma"/>
          <w:sz w:val="20"/>
          <w:lang w:val="en-GB"/>
        </w:rPr>
        <w:t>bas</w:t>
      </w:r>
      <w:r w:rsidR="00FF3CED">
        <w:rPr>
          <w:rFonts w:ascii="Tahoma" w:hAnsi="Tahoma" w:cs="Tahoma"/>
          <w:sz w:val="20"/>
          <w:lang w:val="en-GB"/>
        </w:rPr>
        <w:t>is</w:t>
      </w:r>
      <w:r w:rsidRPr="00394829">
        <w:rPr>
          <w:rFonts w:ascii="Tahoma" w:hAnsi="Tahoma" w:cs="Tahoma"/>
          <w:sz w:val="20"/>
          <w:lang w:val="en-GB"/>
        </w:rPr>
        <w:t xml:space="preserve"> o</w:t>
      </w:r>
      <w:r w:rsidR="00FF3CED">
        <w:rPr>
          <w:rFonts w:ascii="Tahoma" w:hAnsi="Tahoma" w:cs="Tahoma"/>
          <w:sz w:val="20"/>
          <w:lang w:val="en-GB"/>
        </w:rPr>
        <w:t>f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 w:rsidRPr="00860480">
        <w:rPr>
          <w:rFonts w:ascii="Tahoma" w:hAnsi="Tahoma" w:cs="Tahoma"/>
          <w:sz w:val="20"/>
          <w:lang w:val="en-GB"/>
        </w:rPr>
        <w:t>order book</w:t>
      </w:r>
      <w:r w:rsidR="00FF3CED" w:rsidRPr="00FF3CED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 xml:space="preserve">or negotiated </w:t>
      </w:r>
      <w:r w:rsidRPr="00394829">
        <w:rPr>
          <w:rFonts w:ascii="Tahoma" w:hAnsi="Tahoma" w:cs="Tahoma"/>
          <w:sz w:val="20"/>
          <w:lang w:val="en-GB"/>
        </w:rPr>
        <w:t xml:space="preserve">orders is </w:t>
      </w:r>
      <w:r w:rsidR="00FF3CED">
        <w:rPr>
          <w:rFonts w:ascii="Tahoma" w:hAnsi="Tahoma" w:cs="Tahoma"/>
          <w:sz w:val="20"/>
          <w:lang w:val="en-GB"/>
        </w:rPr>
        <w:t>calculated</w:t>
      </w:r>
      <w:r w:rsidR="00FF3CED" w:rsidRPr="00394829">
        <w:rPr>
          <w:rFonts w:ascii="Tahoma" w:hAnsi="Tahoma" w:cs="Tahoma"/>
          <w:sz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lang w:val="en-GB"/>
        </w:rPr>
        <w:t>according to the following formula</w:t>
      </w:r>
      <w:r w:rsidR="00714A9A" w:rsidRPr="00394829">
        <w:rPr>
          <w:rFonts w:ascii="Tahoma" w:hAnsi="Tahoma" w:cs="Tahoma"/>
          <w:sz w:val="20"/>
          <w:lang w:val="en-GB"/>
        </w:rPr>
        <w:t>:</w:t>
      </w:r>
    </w:p>
    <w:p w:rsidR="00714A9A" w:rsidRPr="000B7A63" w:rsidRDefault="00714A9A" w:rsidP="00FA41DC">
      <w:pPr>
        <w:spacing w:before="120"/>
        <w:rPr>
          <w:rFonts w:ascii="Tahoma" w:hAnsi="Tahoma" w:cs="Tahoma"/>
          <w:b/>
          <w:sz w:val="20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  <w:lang w:val="en-GB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  <w:lang w:val="en-GB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  <w:lang w:val="en-GB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GB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GB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GB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GB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  <w:lang w:val="en-GB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  <w:lang w:val="en-GB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  <w:lang w:val="en-GB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  <w:lang w:val="en-GB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GB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GB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GB"/>
                    </w:rPr>
                    <m:t>×BaseOptFee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  <w:lang w:val="en-GB"/>
                </w:rPr>
                <m:t>;2</m:t>
              </m:r>
            </m:e>
          </m:d>
        </m:oMath>
      </m:oMathPara>
    </w:p>
    <w:p w:rsidR="00714A9A" w:rsidRPr="000B7A63" w:rsidRDefault="00714A9A" w:rsidP="00FA41DC">
      <w:pPr>
        <w:spacing w:before="120"/>
        <w:jc w:val="both"/>
        <w:rPr>
          <w:rFonts w:ascii="Tahoma" w:hAnsi="Tahoma" w:cs="Tahoma"/>
          <w:b/>
          <w:sz w:val="22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  <w:lang w:val="en-GB"/>
            </w:rPr>
            <m:t>OptFee≥0,01RUB.</m:t>
          </m:r>
        </m:oMath>
      </m:oMathPara>
    </w:p>
    <w:p w:rsidR="00714A9A" w:rsidRPr="00394829" w:rsidRDefault="00E56561" w:rsidP="00714A9A">
      <w:p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Parameters</w:t>
      </w:r>
      <w:r w:rsidR="00714A9A" w:rsidRPr="00394829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254"/>
      </w:tblGrid>
      <w:tr w:rsidR="00714A9A" w:rsidRPr="00B43F23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GB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5746A5" w:rsidP="00FF3CED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2"/>
                <w:lang w:val="en-GB"/>
              </w:rPr>
              <w:t>s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ize of </w:t>
            </w:r>
            <w:r w:rsidR="00154CC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the </w:t>
            </w:r>
            <w:r w:rsidR="00FF3CED">
              <w:rPr>
                <w:rFonts w:ascii="Tahoma" w:hAnsi="Tahoma" w:cs="Tahoma"/>
                <w:sz w:val="20"/>
                <w:szCs w:val="22"/>
                <w:lang w:val="en-GB"/>
              </w:rPr>
              <w:t>O</w:t>
            </w:r>
            <w:r w:rsidR="00154CC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ptions </w:t>
            </w:r>
            <w:r w:rsidR="00FF3CED">
              <w:rPr>
                <w:rFonts w:ascii="Tahoma" w:hAnsi="Tahoma" w:cs="Tahoma"/>
                <w:sz w:val="20"/>
                <w:szCs w:val="22"/>
                <w:lang w:val="en-GB"/>
              </w:rPr>
              <w:t>E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xchange </w:t>
            </w:r>
            <w:r w:rsidR="00FF3CED">
              <w:rPr>
                <w:rFonts w:ascii="Tahoma" w:hAnsi="Tahoma" w:cs="Tahoma"/>
                <w:sz w:val="20"/>
                <w:szCs w:val="22"/>
                <w:lang w:val="en-GB"/>
              </w:rPr>
              <w:t>F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>ee (</w:t>
            </w:r>
            <w:r w:rsidR="002572FA">
              <w:rPr>
                <w:rFonts w:ascii="Tahoma" w:hAnsi="Tahoma" w:cs="Tahoma"/>
                <w:sz w:val="20"/>
                <w:szCs w:val="22"/>
                <w:lang w:val="en-GB"/>
              </w:rPr>
              <w:t xml:space="preserve">in 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>R</w:t>
            </w:r>
            <w:r w:rsidR="00154CC8" w:rsidRPr="00394829">
              <w:rPr>
                <w:rFonts w:ascii="Tahoma" w:hAnsi="Tahoma" w:cs="Tahoma"/>
                <w:sz w:val="20"/>
                <w:szCs w:val="22"/>
                <w:lang w:val="en-GB"/>
              </w:rPr>
              <w:t>UB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>)</w:t>
            </w:r>
            <w:r w:rsidR="009870BD">
              <w:rPr>
                <w:rFonts w:ascii="Tahoma" w:hAnsi="Tahoma" w:cs="Tahoma"/>
                <w:sz w:val="20"/>
                <w:szCs w:val="22"/>
                <w:lang w:val="en-GB"/>
              </w:rPr>
              <w:t>;</w:t>
            </w:r>
          </w:p>
        </w:tc>
      </w:tr>
      <w:tr w:rsidR="00714A9A" w:rsidRPr="00B43F23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GB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5746A5" w:rsidP="0019069F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ize of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xchange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ee for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utures, which is the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O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ption’s underlying asset. The size is set under the </w:t>
            </w:r>
            <w:r w:rsidR="00247320">
              <w:rPr>
                <w:rFonts w:ascii="Tahoma" w:hAnsi="Tahoma" w:cs="Tahoma"/>
                <w:sz w:val="20"/>
                <w:szCs w:val="20"/>
                <w:lang w:val="en-GB"/>
              </w:rPr>
              <w:t>Fee Schedule</w:t>
            </w:r>
            <w:r w:rsidR="00247320" w:rsidRPr="00394829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247320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554F73" w:rsidRPr="00394829">
              <w:rPr>
                <w:rFonts w:ascii="Tahoma" w:hAnsi="Tahoma" w:cs="Tahoma"/>
                <w:sz w:val="20"/>
                <w:szCs w:val="20"/>
                <w:lang w:val="en-GB"/>
              </w:rPr>
              <w:t>para 3.1</w:t>
            </w:r>
            <w:r w:rsidR="00714A9A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A26D34" w:rsidRPr="00394829">
              <w:rPr>
                <w:rFonts w:ascii="Tahoma" w:hAnsi="Tahoma" w:cs="Tahoma"/>
                <w:sz w:val="20"/>
                <w:szCs w:val="20"/>
                <w:lang w:val="en-GB"/>
              </w:rPr>
              <w:t>RUB</w:t>
            </w:r>
            <w:r w:rsidR="00714A9A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98274E" w:rsidRPr="00B43F23" w:rsidTr="00AF6685">
        <w:tc>
          <w:tcPr>
            <w:tcW w:w="2215" w:type="dxa"/>
            <w:vAlign w:val="center"/>
          </w:tcPr>
          <w:p w:rsidR="0098274E" w:rsidRPr="0098274E" w:rsidRDefault="0098274E" w:rsidP="0098274E">
            <w:pPr>
              <w:jc w:val="both"/>
              <w:rPr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GB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:rsidR="0098274E" w:rsidRPr="0098274E" w:rsidRDefault="0098274E" w:rsidP="0098274E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O</w:t>
            </w: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ption’s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tick</w:t>
            </w: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 set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forth</w:t>
            </w: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 in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the </w:t>
            </w:r>
            <w:r w:rsidRPr="00F53A80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Option</w:t>
            </w:r>
            <w:r w:rsidRPr="00F53A80">
              <w:rPr>
                <w:rFonts w:ascii="Tahoma" w:hAnsi="Tahoma" w:cs="Tahoma"/>
                <w:sz w:val="20"/>
                <w:szCs w:val="20"/>
                <w:lang w:val="en-GB"/>
              </w:rPr>
              <w:t xml:space="preserve"> Specifications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43F23" w:rsidTr="00AF6685">
        <w:tc>
          <w:tcPr>
            <w:tcW w:w="2215" w:type="dxa"/>
            <w:vAlign w:val="center"/>
          </w:tcPr>
          <w:p w:rsidR="00714A9A" w:rsidRPr="000B7A63" w:rsidRDefault="00FA41DC" w:rsidP="00FA41DC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GB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9870BD" w:rsidP="009870BD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the value of a tick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set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forth 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in the </w:t>
            </w:r>
            <w:r w:rsidR="00154CC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Option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Specifications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A26D34" w:rsidRPr="00394829">
              <w:rPr>
                <w:rFonts w:ascii="Tahoma" w:hAnsi="Tahoma" w:cs="Tahoma"/>
                <w:sz w:val="20"/>
                <w:szCs w:val="20"/>
                <w:lang w:val="en-GB"/>
              </w:rPr>
              <w:t>RUB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43F23" w:rsidTr="00AF6685">
        <w:tc>
          <w:tcPr>
            <w:tcW w:w="2215" w:type="dxa"/>
            <w:vAlign w:val="center"/>
          </w:tcPr>
          <w:p w:rsidR="00714A9A" w:rsidRPr="000B7A63" w:rsidRDefault="00714A9A" w:rsidP="006E2FB7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54" w:type="dxa"/>
          </w:tcPr>
          <w:p w:rsidR="00714A9A" w:rsidRPr="00394829" w:rsidRDefault="00714A9A" w:rsidP="00D15222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</w:p>
        </w:tc>
      </w:tr>
      <w:tr w:rsidR="002E598E" w:rsidRPr="00B43F23" w:rsidTr="00AF6685">
        <w:tc>
          <w:tcPr>
            <w:tcW w:w="2215" w:type="dxa"/>
            <w:vAlign w:val="center"/>
          </w:tcPr>
          <w:p w:rsidR="002E598E" w:rsidRPr="000B7A63" w:rsidDel="006E2FB7" w:rsidRDefault="002E598E" w:rsidP="002E598E">
            <w:pPr>
              <w:jc w:val="both"/>
              <w:rPr>
                <w:rFonts w:ascii="Tahoma" w:hAnsi="Tahoma" w:cs="Tahoma"/>
                <w:b/>
                <w:sz w:val="22"/>
                <w:szCs w:val="22"/>
                <w:highlight w:val="yellow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:rsidR="002E598E" w:rsidRPr="00394829" w:rsidRDefault="005746A5" w:rsidP="009870BD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m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ath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ematical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rounding 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to the</w:t>
            </w:r>
            <w:r w:rsidR="009870BD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154CC8" w:rsidRPr="00394829">
              <w:rPr>
                <w:rFonts w:ascii="Tahoma" w:hAnsi="Tahoma" w:cs="Tahoma"/>
                <w:sz w:val="20"/>
                <w:szCs w:val="20"/>
                <w:lang w:val="en-GB"/>
              </w:rPr>
              <w:t>precision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43F23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GB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:rsidR="00FA022A" w:rsidRDefault="00FA022A" w:rsidP="00343DE8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additional </w:t>
            </w:r>
            <w:r w:rsidR="00433353">
              <w:rPr>
                <w:rFonts w:ascii="Tahoma" w:hAnsi="Tahoma" w:cs="Tahoma"/>
                <w:sz w:val="20"/>
                <w:szCs w:val="22"/>
                <w:lang w:val="en-GB"/>
              </w:rPr>
              <w:t>coefficient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equal</w:t>
            </w:r>
            <w:r w:rsidR="00F816C9">
              <w:rPr>
                <w:rFonts w:ascii="Tahoma" w:hAnsi="Tahoma" w:cs="Tahoma"/>
                <w:sz w:val="20"/>
                <w:szCs w:val="22"/>
                <w:lang w:val="en-GB"/>
              </w:rPr>
              <w:t>s</w:t>
            </w:r>
            <w:r w:rsidR="00B90CAF">
              <w:rPr>
                <w:rFonts w:ascii="Tahoma" w:hAnsi="Tahoma" w:cs="Tahoma"/>
                <w:sz w:val="20"/>
                <w:szCs w:val="22"/>
                <w:lang w:val="en-GB"/>
              </w:rPr>
              <w:t>:</w:t>
            </w:r>
            <w:r w:rsidR="00F816C9"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</w:p>
          <w:p w:rsidR="00B90CAF" w:rsidRDefault="00B90CAF" w:rsidP="00343DE8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• 1.5 – 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 xml:space="preserve">till October 1, 2018, 19-00 MSK and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within 1-year marketing period: from 01.10.2018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t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ill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>01.10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.2019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(hereinafter, the Marketing period)</w:t>
            </w:r>
          </w:p>
          <w:p w:rsidR="00714A9A" w:rsidRPr="00394829" w:rsidRDefault="00B90CAF" w:rsidP="00FA022A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• 2 – upon expiration of the Marketing period</w:t>
            </w:r>
          </w:p>
        </w:tc>
      </w:tr>
      <w:tr w:rsidR="00714A9A" w:rsidRPr="00B43F23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GB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9870BD" w:rsidP="0019069F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the O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>ption premium set under subparas</w:t>
            </w:r>
            <w:r w:rsidR="00554F73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3.4.</w:t>
            </w:r>
            <w:r w:rsidR="00A43747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  <w:r w:rsidR="00644ACE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– 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3.4.</w:t>
            </w:r>
            <w:r w:rsidR="00A43747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19069F">
              <w:rPr>
                <w:rFonts w:ascii="Tahoma" w:hAnsi="Tahoma" w:cs="Tahoma"/>
                <w:sz w:val="20"/>
                <w:szCs w:val="20"/>
                <w:lang w:val="en-GB"/>
              </w:rPr>
              <w:t xml:space="preserve">hereof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units of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measure 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>of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the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 xml:space="preserve">Option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>order’s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price 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 xml:space="preserve">(premium) </w:t>
            </w:r>
            <w:r w:rsidR="007B6228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="00F4261F">
              <w:rPr>
                <w:rFonts w:ascii="Tahoma" w:hAnsi="Tahoma" w:cs="Tahoma"/>
                <w:sz w:val="20"/>
                <w:szCs w:val="20"/>
                <w:lang w:val="en-GB"/>
              </w:rPr>
              <w:t xml:space="preserve"> under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 w:rsidR="00F4261F">
              <w:rPr>
                <w:rFonts w:ascii="Tahoma" w:hAnsi="Tahoma" w:cs="Tahoma"/>
                <w:sz w:val="20"/>
                <w:szCs w:val="20"/>
                <w:lang w:val="en-GB"/>
              </w:rPr>
              <w:t>Option</w:t>
            </w:r>
            <w:r w:rsidR="00F4261F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Specifications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43F23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rPr>
                <w:rFonts w:ascii="Tahoma" w:eastAsia="Calibri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GB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:rsidR="00714A9A" w:rsidRDefault="002408C8" w:rsidP="00BD6932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of the Option’s fee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base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rate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equal</w:t>
            </w:r>
            <w:r w:rsidR="005746A5" w:rsidRPr="00394829">
              <w:rPr>
                <w:rFonts w:ascii="Tahoma" w:hAnsi="Tahoma" w:cs="Tahoma"/>
                <w:sz w:val="20"/>
                <w:szCs w:val="22"/>
                <w:lang w:val="en-GB"/>
              </w:rPr>
              <w:t>s</w:t>
            </w:r>
            <w:r w:rsidR="00B90CAF">
              <w:rPr>
                <w:rFonts w:ascii="Tahoma" w:hAnsi="Tahoma" w:cs="Tahoma"/>
                <w:sz w:val="20"/>
                <w:szCs w:val="22"/>
                <w:lang w:val="en-GB"/>
              </w:rPr>
              <w:t>:</w:t>
            </w:r>
            <w:r w:rsidR="00F816C9"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</w:p>
          <w:p w:rsidR="00CC3304" w:rsidRPr="00394829" w:rsidRDefault="00CC3304" w:rsidP="00BD6932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0.02 – till 01.10.2018, 19-00 MSK</w:t>
            </w:r>
          </w:p>
          <w:p w:rsidR="0081747F" w:rsidRDefault="00B90CAF" w:rsidP="00B90CAF">
            <w:pPr>
              <w:jc w:val="both"/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 xml:space="preserve">0.05 – </w:t>
            </w:r>
            <w:r w:rsidR="00CC3304">
              <w:rPr>
                <w:rFonts w:ascii="Tahoma" w:hAnsi="Tahoma" w:cs="Tahoma"/>
                <w:sz w:val="20"/>
                <w:lang w:val="en-GB"/>
              </w:rPr>
              <w:t>from 01.10</w:t>
            </w:r>
            <w:r>
              <w:rPr>
                <w:rFonts w:ascii="Tahoma" w:hAnsi="Tahoma" w:cs="Tahoma"/>
                <w:sz w:val="20"/>
                <w:lang w:val="en-GB"/>
              </w:rPr>
              <w:t>.2018</w:t>
            </w:r>
            <w:r w:rsidR="00CC3304">
              <w:rPr>
                <w:rFonts w:ascii="Tahoma" w:hAnsi="Tahoma" w:cs="Tahoma"/>
                <w:sz w:val="20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lang w:val="en-GB"/>
              </w:rPr>
              <w:t xml:space="preserve"> </w:t>
            </w:r>
            <w:r w:rsidR="005A33F4">
              <w:rPr>
                <w:rFonts w:ascii="Tahoma" w:hAnsi="Tahoma" w:cs="Tahoma"/>
                <w:sz w:val="20"/>
                <w:lang w:val="en-GB"/>
              </w:rPr>
              <w:t xml:space="preserve">till 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01.11.2018, 19-00 MSK</w:t>
            </w:r>
          </w:p>
          <w:p w:rsidR="00C066B7" w:rsidRDefault="00C066B7" w:rsidP="00B90CAF">
            <w:pPr>
              <w:jc w:val="both"/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 xml:space="preserve">0.02875 –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from 01.11.2018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t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ill</w:t>
            </w:r>
            <w:r w:rsidR="00433F4E">
              <w:rPr>
                <w:rFonts w:ascii="Tahoma" w:hAnsi="Tahoma" w:cs="Tahoma"/>
                <w:sz w:val="20"/>
                <w:szCs w:val="22"/>
                <w:lang w:val="en-GB"/>
              </w:rPr>
              <w:t xml:space="preserve"> 01.10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.2019</w:t>
            </w:r>
            <w:r w:rsidR="00433F4E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</w:p>
          <w:p w:rsidR="0081747F" w:rsidRPr="00C066B7" w:rsidRDefault="00C066B7" w:rsidP="003F0A61">
            <w:pPr>
              <w:jc w:val="both"/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 xml:space="preserve">0.06325 -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upon expiration of the Marketing period</w:t>
            </w:r>
          </w:p>
        </w:tc>
      </w:tr>
    </w:tbl>
    <w:p w:rsidR="00D93E4E" w:rsidRDefault="00D93E4E" w:rsidP="00D93E4E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</w:p>
    <w:p w:rsidR="009E340E" w:rsidRPr="00394829" w:rsidRDefault="00B640E6" w:rsidP="00366E5E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Exchange Fee for Scal</w:t>
      </w:r>
      <w:r w:rsidR="000F106C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p</w:t>
      </w:r>
      <w:r w:rsidR="00395B93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ing</w:t>
      </w: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</w:t>
      </w:r>
    </w:p>
    <w:p w:rsidR="009E340E" w:rsidRDefault="00CC3304" w:rsidP="003950B5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50B5">
        <w:rPr>
          <w:rFonts w:ascii="Tahoma" w:hAnsi="Tahoma" w:cs="Tahoma"/>
          <w:sz w:val="20"/>
          <w:szCs w:val="20"/>
          <w:lang w:val="en-GB"/>
        </w:rPr>
        <w:t>Scalping in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 xml:space="preserve"> </w:t>
      </w:r>
      <w:r w:rsidR="00214F83" w:rsidRPr="003950B5">
        <w:rPr>
          <w:rFonts w:ascii="Tahoma" w:hAnsi="Tahoma" w:cs="Tahoma"/>
          <w:sz w:val="20"/>
          <w:szCs w:val="20"/>
          <w:lang w:val="en-GB"/>
        </w:rPr>
        <w:t>F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>utures are order book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 derivative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 xml:space="preserve"> trades resulting in the opening or closing </w:t>
      </w:r>
      <w:r w:rsidR="005746A5" w:rsidRPr="003950B5">
        <w:rPr>
          <w:rFonts w:ascii="Tahoma" w:hAnsi="Tahoma" w:cs="Tahoma"/>
          <w:sz w:val="20"/>
          <w:szCs w:val="20"/>
          <w:lang w:val="en-GB"/>
        </w:rPr>
        <w:t xml:space="preserve">of </w:t>
      </w:r>
      <w:r w:rsidR="009F5EB1" w:rsidRPr="003950B5">
        <w:rPr>
          <w:rFonts w:ascii="Tahoma" w:hAnsi="Tahoma" w:cs="Tahoma"/>
          <w:sz w:val="20"/>
          <w:szCs w:val="20"/>
          <w:lang w:val="en-GB"/>
        </w:rPr>
        <w:t>F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>utures positions within one Trading Day</w:t>
      </w:r>
      <w:r w:rsidR="009E340E" w:rsidRPr="003950B5">
        <w:rPr>
          <w:rFonts w:ascii="Tahoma" w:hAnsi="Tahoma" w:cs="Tahoma"/>
          <w:sz w:val="20"/>
          <w:szCs w:val="20"/>
          <w:lang w:val="en-GB"/>
        </w:rPr>
        <w:t>.</w:t>
      </w:r>
    </w:p>
    <w:p w:rsidR="003950B5" w:rsidRPr="003950B5" w:rsidRDefault="003950B5" w:rsidP="003950B5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</w:t>
      </w:r>
      <w:r w:rsidRPr="003950B5">
        <w:rPr>
          <w:rFonts w:ascii="Tahoma" w:hAnsi="Tahoma" w:cs="Tahoma"/>
          <w:sz w:val="20"/>
          <w:szCs w:val="20"/>
          <w:lang w:val="en-GB"/>
        </w:rPr>
        <w:t>he size of exchange fee</w:t>
      </w:r>
      <w:r w:rsidR="003F0A61">
        <w:rPr>
          <w:rFonts w:ascii="Tahoma" w:hAnsi="Tahoma" w:cs="Tahoma"/>
          <w:sz w:val="20"/>
          <w:szCs w:val="20"/>
          <w:lang w:val="en-GB"/>
        </w:rPr>
        <w:t xml:space="preserve"> for scalping in F</w:t>
      </w:r>
      <w:r>
        <w:rPr>
          <w:rFonts w:ascii="Tahoma" w:hAnsi="Tahoma" w:cs="Tahoma"/>
          <w:sz w:val="20"/>
          <w:szCs w:val="20"/>
          <w:lang w:val="en-GB"/>
        </w:rPr>
        <w:t xml:space="preserve">utures 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is calculated according to </w:t>
      </w:r>
      <w:r>
        <w:rPr>
          <w:rFonts w:ascii="Tahoma" w:hAnsi="Tahoma" w:cs="Tahoma"/>
          <w:sz w:val="20"/>
          <w:szCs w:val="20"/>
          <w:lang w:val="en-GB"/>
        </w:rPr>
        <w:t>para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 3.1 </w:t>
      </w:r>
      <w:r w:rsidR="0019069F">
        <w:rPr>
          <w:rFonts w:ascii="Tahoma" w:hAnsi="Tahoma" w:cs="Tahoma"/>
          <w:sz w:val="20"/>
          <w:szCs w:val="20"/>
          <w:lang w:val="en-GB"/>
        </w:rPr>
        <w:t>hererof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 applying the coefficient of 0.5</w:t>
      </w:r>
      <w:r>
        <w:rPr>
          <w:rFonts w:ascii="Tahoma" w:hAnsi="Tahoma" w:cs="Tahoma"/>
          <w:sz w:val="20"/>
          <w:szCs w:val="20"/>
          <w:lang w:val="en-GB"/>
        </w:rPr>
        <w:t xml:space="preserve"> (five tenths)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 to the total size of exchange fee charged on such trades.</w:t>
      </w:r>
    </w:p>
    <w:p w:rsidR="009E340E" w:rsidRPr="00394829" w:rsidRDefault="009C3050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Scalp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="002C768D" w:rsidRPr="00394829">
        <w:rPr>
          <w:rFonts w:ascii="Tahoma" w:hAnsi="Tahoma" w:cs="Tahoma"/>
          <w:sz w:val="20"/>
          <w:szCs w:val="20"/>
          <w:lang w:val="en-GB"/>
        </w:rPr>
        <w:t>in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O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ptions are order book 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derivative </w:t>
      </w:r>
      <w:r w:rsidRPr="00394829">
        <w:rPr>
          <w:rFonts w:ascii="Tahoma" w:hAnsi="Tahoma" w:cs="Tahoma"/>
          <w:sz w:val="20"/>
          <w:szCs w:val="20"/>
          <w:lang w:val="en-GB"/>
        </w:rPr>
        <w:t>trades result</w:t>
      </w:r>
      <w:r w:rsidR="005746A5" w:rsidRPr="00394829">
        <w:rPr>
          <w:rFonts w:ascii="Tahoma" w:hAnsi="Tahoma" w:cs="Tahoma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in </w:t>
      </w:r>
      <w:r w:rsidR="005746A5" w:rsidRPr="00394829">
        <w:rPr>
          <w:rFonts w:ascii="Tahoma" w:hAnsi="Tahoma" w:cs="Tahoma"/>
          <w:sz w:val="20"/>
          <w:szCs w:val="20"/>
          <w:lang w:val="en-GB"/>
        </w:rPr>
        <w:t xml:space="preserve">the 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opening </w:t>
      </w:r>
      <w:r w:rsidR="00554F73" w:rsidRPr="00394829">
        <w:rPr>
          <w:rFonts w:ascii="Tahoma" w:hAnsi="Tahoma" w:cs="Tahoma"/>
          <w:sz w:val="20"/>
          <w:szCs w:val="20"/>
          <w:lang w:val="en-GB"/>
        </w:rPr>
        <w:t>of opposite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positions </w:t>
      </w:r>
      <w:r w:rsidR="00554F73" w:rsidRPr="00394829">
        <w:rPr>
          <w:rFonts w:ascii="Tahoma" w:hAnsi="Tahoma" w:cs="Tahoma"/>
          <w:sz w:val="20"/>
          <w:szCs w:val="20"/>
          <w:lang w:val="en-GB"/>
        </w:rPr>
        <w:t>on the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underlying asset 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of the Option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(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F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utures) if the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O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ption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 </w:t>
      </w:r>
      <w:r w:rsidR="00761C22" w:rsidRPr="0007078A">
        <w:rPr>
          <w:rFonts w:ascii="Tahoma" w:hAnsi="Tahoma" w:cs="Tahoma"/>
          <w:sz w:val="20"/>
          <w:szCs w:val="20"/>
          <w:lang w:val="en-GB"/>
        </w:rPr>
        <w:t>(whatever the strike is)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is executed within one Trading Day</w:t>
      </w:r>
      <w:r w:rsidR="009E340E" w:rsidRPr="00394829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9E340E" w:rsidRPr="00394829" w:rsidRDefault="00B523A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Buying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of CALL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>o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ption</w:t>
      </w:r>
      <w:r w:rsidR="0007078A">
        <w:rPr>
          <w:rFonts w:ascii="Tahoma" w:hAnsi="Tahoma" w:cs="Tahoma"/>
          <w:sz w:val="20"/>
          <w:szCs w:val="20"/>
          <w:lang w:val="en-GB"/>
        </w:rPr>
        <w:t xml:space="preserve"> (CALL)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or selling of PUT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>o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ption</w:t>
      </w:r>
      <w:r w:rsidR="0007078A">
        <w:rPr>
          <w:rFonts w:ascii="Tahoma" w:hAnsi="Tahoma" w:cs="Tahoma"/>
          <w:sz w:val="20"/>
          <w:szCs w:val="20"/>
          <w:lang w:val="en-GB"/>
        </w:rPr>
        <w:t xml:space="preserve"> (PUT)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may result in the opening of </w:t>
      </w:r>
      <w:r w:rsidRPr="00394829">
        <w:rPr>
          <w:rFonts w:ascii="Tahoma" w:hAnsi="Tahoma" w:cs="Tahoma"/>
          <w:sz w:val="20"/>
          <w:szCs w:val="20"/>
          <w:lang w:val="en-GB"/>
        </w:rPr>
        <w:t>a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long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utures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position</w:t>
      </w:r>
      <w:r w:rsidR="009E340E" w:rsidRPr="00394829">
        <w:rPr>
          <w:rFonts w:ascii="Tahoma" w:hAnsi="Tahoma" w:cs="Tahoma"/>
          <w:sz w:val="20"/>
          <w:szCs w:val="20"/>
          <w:lang w:val="en-GB"/>
        </w:rPr>
        <w:t xml:space="preserve">.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S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elling of CALL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>option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and </w:t>
      </w:r>
      <w:r w:rsidRPr="00394829">
        <w:rPr>
          <w:rFonts w:ascii="Tahoma" w:hAnsi="Tahoma" w:cs="Tahoma"/>
          <w:sz w:val="20"/>
          <w:szCs w:val="20"/>
          <w:lang w:val="en-GB"/>
        </w:rPr>
        <w:t>buying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of PUT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 xml:space="preserve">option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may result in the opening of a short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F</w:t>
      </w:r>
      <w:r w:rsidR="00D64144" w:rsidRPr="00394829">
        <w:rPr>
          <w:rFonts w:ascii="Tahoma" w:hAnsi="Tahoma" w:cs="Tahoma"/>
          <w:sz w:val="20"/>
          <w:szCs w:val="20"/>
          <w:lang w:val="en-GB"/>
        </w:rPr>
        <w:t xml:space="preserve">utures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position.</w:t>
      </w:r>
      <w:r w:rsidR="009E340E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D47EC8" w:rsidRPr="00394829" w:rsidRDefault="004C3D48" w:rsidP="004E7765">
      <w:pPr>
        <w:spacing w:before="120"/>
        <w:ind w:left="709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Scalp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pairs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 xml:space="preserve"> for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O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>ptions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(</w:t>
      </w:r>
      <w:r w:rsidR="00D64144" w:rsidRPr="00394829">
        <w:rPr>
          <w:rFonts w:ascii="Tahoma" w:hAnsi="Tahoma" w:cs="Tahoma"/>
          <w:sz w:val="20"/>
          <w:szCs w:val="20"/>
          <w:lang w:val="en-GB"/>
        </w:rPr>
        <w:t>buy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 xml:space="preserve"> the underlying asset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="0049647B" w:rsidRPr="00394829">
        <w:rPr>
          <w:rFonts w:ascii="Tahoma" w:hAnsi="Tahoma" w:cs="Tahoma"/>
          <w:sz w:val="20"/>
          <w:szCs w:val="22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> </w:t>
      </w:r>
      <w:r w:rsidR="00D64144" w:rsidRPr="00394829">
        <w:rPr>
          <w:rFonts w:ascii="Tahoma" w:hAnsi="Tahoma" w:cs="Tahoma"/>
          <w:sz w:val="20"/>
          <w:szCs w:val="20"/>
          <w:lang w:val="en-GB"/>
        </w:rPr>
        <w:t>sell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 xml:space="preserve"> the underlying asset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>):</w:t>
      </w:r>
    </w:p>
    <w:p w:rsidR="00D47EC8" w:rsidRPr="00394829" w:rsidRDefault="00630D5F" w:rsidP="004E7765">
      <w:pPr>
        <w:pStyle w:val="a6"/>
        <w:numPr>
          <w:ilvl w:val="0"/>
          <w:numId w:val="40"/>
        </w:numPr>
        <w:spacing w:before="120"/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buy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 </w:t>
      </w:r>
      <w:r w:rsidR="0049647B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>sell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CALL;</w:t>
      </w:r>
    </w:p>
    <w:p w:rsidR="00D47EC8" w:rsidRPr="00394829" w:rsidRDefault="00630D5F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lastRenderedPageBreak/>
        <w:t>buy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 </w:t>
      </w:r>
      <w:r w:rsidR="006712E3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buy 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>PUT;</w:t>
      </w:r>
    </w:p>
    <w:p w:rsidR="00D47EC8" w:rsidRPr="00394829" w:rsidRDefault="00EB0D3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 xml:space="preserve">sell 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PUT </w:t>
      </w:r>
      <w:r w:rsidR="006712E3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>buy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PUT;</w:t>
      </w:r>
    </w:p>
    <w:p w:rsidR="00D47EC8" w:rsidRDefault="00EB0D3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sell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PUT </w:t>
      </w:r>
      <w:r w:rsidR="006712E3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>sell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CALL.</w:t>
      </w:r>
    </w:p>
    <w:p w:rsidR="00D80962" w:rsidRPr="00834C81" w:rsidRDefault="00D80962" w:rsidP="00834C81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834C81">
        <w:rPr>
          <w:rFonts w:ascii="Tahoma" w:hAnsi="Tahoma" w:cs="Tahoma"/>
          <w:sz w:val="20"/>
          <w:szCs w:val="20"/>
          <w:lang w:val="en-US"/>
        </w:rPr>
        <w:t xml:space="preserve">Total exchange fee for scalping in </w:t>
      </w:r>
      <w:r w:rsidR="003F0A61">
        <w:rPr>
          <w:rFonts w:ascii="Tahoma" w:hAnsi="Tahoma" w:cs="Tahoma"/>
          <w:sz w:val="20"/>
          <w:szCs w:val="20"/>
          <w:lang w:val="en-US"/>
        </w:rPr>
        <w:t>O</w:t>
      </w:r>
      <w:r w:rsidRPr="00834C81">
        <w:rPr>
          <w:rFonts w:ascii="Tahoma" w:hAnsi="Tahoma" w:cs="Tahoma"/>
          <w:sz w:val="20"/>
          <w:szCs w:val="20"/>
          <w:lang w:val="en-US"/>
        </w:rPr>
        <w:t>ptions will be calculated using the following formulas:</w:t>
      </w:r>
    </w:p>
    <w:p w:rsidR="00D80962" w:rsidRPr="00834C81" w:rsidRDefault="00D80962" w:rsidP="00834C81">
      <w:pPr>
        <w:pStyle w:val="a6"/>
        <w:spacing w:before="120" w:after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 w:val="20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×K →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sz w:val="20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)→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D80962" w:rsidRPr="00834C81" w:rsidRDefault="00D80962" w:rsidP="00B03373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  <w:r w:rsidRPr="00834C81">
        <w:rPr>
          <w:rFonts w:ascii="Tahoma" w:hAnsi="Tahoma" w:cs="Tahoma"/>
          <w:color w:val="auto"/>
          <w:sz w:val="20"/>
          <w:szCs w:val="20"/>
        </w:rPr>
        <w:t>where: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D80962" w:rsidRPr="00B43F23" w:rsidTr="000F67FD">
        <w:tc>
          <w:tcPr>
            <w:tcW w:w="1169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Total exchange fee size for scalping (in Russian roubles);</w:t>
            </w:r>
          </w:p>
        </w:tc>
      </w:tr>
      <w:tr w:rsidR="00D80962" w:rsidRPr="00B43F23" w:rsidTr="000F67FD">
        <w:tc>
          <w:tcPr>
            <w:tcW w:w="1169" w:type="dxa"/>
            <w:vAlign w:val="center"/>
          </w:tcPr>
          <w:p w:rsidR="00D80962" w:rsidRPr="00B03373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ahoma"/>
                    <w:color w:val="auto"/>
                    <w:sz w:val="20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3F0A6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Total exchange fee size for scalping in 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ptions that resulted in the opening of a position fo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 the underlying asset of such 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ptions (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utures), calculated according to </w:t>
            </w:r>
            <w:r w:rsidR="0019069F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para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3.2. </w:t>
            </w:r>
            <w:r w:rsidR="008A5C45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of the Fee Schedule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;</w:t>
            </w:r>
          </w:p>
        </w:tc>
      </w:tr>
      <w:tr w:rsidR="00D80962" w:rsidRPr="00B43F23" w:rsidTr="000F67FD">
        <w:tc>
          <w:tcPr>
            <w:tcW w:w="1169" w:type="dxa"/>
            <w:vAlign w:val="center"/>
          </w:tcPr>
          <w:p w:rsidR="00D80962" w:rsidRPr="00B03373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ahoma"/>
                    <w:color w:val="auto"/>
                    <w:sz w:val="20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3F0A6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Total exchange fee size for scalping in 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ptions that resulted in the closing of a position for the underlying asset of such 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ptions (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utures), calculated according to </w:t>
            </w:r>
            <w:r w:rsidR="0019069F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para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3.2. </w:t>
            </w:r>
            <w:r w:rsidR="008A5C45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of the Fee Schedule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;</w:t>
            </w:r>
          </w:p>
        </w:tc>
      </w:tr>
      <w:tr w:rsidR="00D80962" w:rsidRPr="00834C81" w:rsidTr="000F67FD">
        <w:tc>
          <w:tcPr>
            <w:tcW w:w="1169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</w:rPr>
              <w:t xml:space="preserve">Coefficient equals 0.5. </w:t>
            </w:r>
          </w:p>
        </w:tc>
      </w:tr>
    </w:tbl>
    <w:p w:rsidR="00D93E4E" w:rsidRPr="00D80962" w:rsidRDefault="00D93E4E" w:rsidP="00D93E4E">
      <w:pPr>
        <w:pStyle w:val="a6"/>
        <w:ind w:left="1134"/>
        <w:jc w:val="both"/>
        <w:rPr>
          <w:rFonts w:ascii="Tahoma" w:hAnsi="Tahoma" w:cs="Tahoma"/>
          <w:sz w:val="20"/>
          <w:szCs w:val="20"/>
          <w:lang w:val="en-GB"/>
        </w:rPr>
      </w:pPr>
    </w:p>
    <w:p w:rsidR="00BB0336" w:rsidRPr="00394829" w:rsidRDefault="00A43747" w:rsidP="004E7765">
      <w:pPr>
        <w:pStyle w:val="a5"/>
        <w:numPr>
          <w:ilvl w:val="1"/>
          <w:numId w:val="11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Pricing procedure of futures/premium for option </w:t>
      </w:r>
      <w:r w:rsidR="00EB0D38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of </w:t>
      </w:r>
      <w:r w:rsidR="00D93E4E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the </w:t>
      </w:r>
      <w:r w:rsidR="00EB0D38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Exchange Fee </w:t>
      </w:r>
      <w:r w:rsidR="00713B3D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Calculation </w:t>
      </w:r>
    </w:p>
    <w:p w:rsidR="00714A9A" w:rsidRPr="00A43747" w:rsidRDefault="00461ECC" w:rsidP="00A43747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A43747">
        <w:rPr>
          <w:rFonts w:ascii="Tahoma" w:hAnsi="Tahoma" w:cs="Tahoma"/>
          <w:sz w:val="20"/>
          <w:szCs w:val="20"/>
          <w:lang w:val="en-GB"/>
        </w:rPr>
        <w:t xml:space="preserve">Absolute value of the </w:t>
      </w:r>
      <w:r w:rsidR="00D15222" w:rsidRPr="00A43747">
        <w:rPr>
          <w:rFonts w:ascii="Tahoma" w:hAnsi="Tahoma" w:cs="Tahoma"/>
          <w:sz w:val="20"/>
          <w:szCs w:val="20"/>
          <w:lang w:val="en-GB"/>
        </w:rPr>
        <w:t>E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xchange </w:t>
      </w:r>
      <w:r w:rsidR="00262EA5" w:rsidRPr="00A43747">
        <w:rPr>
          <w:rFonts w:ascii="Tahoma" w:hAnsi="Tahoma" w:cs="Tahoma"/>
          <w:sz w:val="20"/>
          <w:szCs w:val="20"/>
          <w:lang w:val="en-GB"/>
        </w:rPr>
        <w:t xml:space="preserve">Fee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for each </w:t>
      </w:r>
      <w:r w:rsidRPr="00A43747">
        <w:rPr>
          <w:rFonts w:ascii="Tahoma" w:hAnsi="Tahoma" w:cs="Tahoma"/>
          <w:sz w:val="20"/>
          <w:szCs w:val="20"/>
          <w:lang w:val="en-GB"/>
        </w:rPr>
        <w:t xml:space="preserve">Derivative Contract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is </w:t>
      </w:r>
      <w:r w:rsidR="00262EA5" w:rsidRPr="00A43747">
        <w:rPr>
          <w:rFonts w:ascii="Tahoma" w:hAnsi="Tahoma" w:cs="Tahoma"/>
          <w:sz w:val="20"/>
          <w:szCs w:val="20"/>
          <w:lang w:val="en-GB"/>
        </w:rPr>
        <w:t xml:space="preserve">calculated </w:t>
      </w:r>
      <w:r w:rsidR="00AC140C" w:rsidRPr="00A43747">
        <w:rPr>
          <w:rFonts w:ascii="Tahoma" w:hAnsi="Tahoma" w:cs="Tahoma"/>
          <w:sz w:val="20"/>
          <w:szCs w:val="20"/>
          <w:lang w:val="en-GB"/>
        </w:rPr>
        <w:t xml:space="preserve">under the Fee Schedule’s paras 3.1. – 3.2. </w:t>
      </w:r>
      <w:r w:rsidR="00344826" w:rsidRPr="00A43747">
        <w:rPr>
          <w:rFonts w:ascii="Tahoma" w:hAnsi="Tahoma" w:cs="Tahoma"/>
          <w:sz w:val="20"/>
          <w:szCs w:val="20"/>
          <w:lang w:val="en-GB"/>
        </w:rPr>
        <w:t>(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 xml:space="preserve">in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>RUB</w:t>
      </w:r>
      <w:r w:rsidR="00344826" w:rsidRPr="00A43747">
        <w:rPr>
          <w:rFonts w:ascii="Tahoma" w:hAnsi="Tahoma" w:cs="Tahoma"/>
          <w:sz w:val="20"/>
          <w:szCs w:val="20"/>
          <w:lang w:val="en-GB"/>
        </w:rPr>
        <w:t>)</w:t>
      </w:r>
      <w:r w:rsidRPr="00A43747">
        <w:rPr>
          <w:rFonts w:ascii="Tahoma" w:hAnsi="Tahoma" w:cs="Tahoma"/>
          <w:sz w:val="20"/>
          <w:szCs w:val="20"/>
          <w:lang w:val="en-GB"/>
        </w:rPr>
        <w:t xml:space="preserve"> on day-to-day basis</w:t>
      </w:r>
      <w:r w:rsidR="00D15222" w:rsidRPr="00A43747">
        <w:rPr>
          <w:rFonts w:ascii="Tahoma" w:hAnsi="Tahoma" w:cs="Tahoma"/>
          <w:sz w:val="20"/>
          <w:szCs w:val="20"/>
          <w:lang w:val="en-GB"/>
        </w:rPr>
        <w:t>.</w:t>
      </w:r>
    </w:p>
    <w:p w:rsidR="00F34FF0" w:rsidRDefault="00714A9A" w:rsidP="00A43747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A43747">
        <w:rPr>
          <w:rFonts w:ascii="Tahoma" w:hAnsi="Tahoma" w:cs="Tahoma"/>
          <w:sz w:val="20"/>
          <w:szCs w:val="20"/>
          <w:lang w:val="en-GB"/>
        </w:rPr>
        <w:t>FutPrice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 used to </w:t>
      </w:r>
      <w:r w:rsidR="00AC140C" w:rsidRPr="00A43747">
        <w:rPr>
          <w:rFonts w:ascii="Tahoma" w:hAnsi="Tahoma" w:cs="Tahoma"/>
          <w:sz w:val="20"/>
          <w:szCs w:val="20"/>
          <w:lang w:val="en-GB"/>
        </w:rPr>
        <w:t xml:space="preserve">calculate </w:t>
      </w:r>
      <w:r w:rsidR="00AC140C" w:rsidRPr="00A4374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AC140C" w:rsidRPr="00A43747">
        <w:rPr>
          <w:rFonts w:ascii="Tahoma" w:hAnsi="Tahoma" w:cs="Tahoma"/>
          <w:sz w:val="20"/>
          <w:szCs w:val="20"/>
          <w:lang w:val="en-GB"/>
        </w:rPr>
        <w:t>E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xchange 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>F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ee under </w:t>
      </w:r>
      <w:r w:rsidR="003060BE" w:rsidRPr="00A43747">
        <w:rPr>
          <w:rFonts w:ascii="Tahoma" w:hAnsi="Tahoma" w:cs="Tahoma"/>
          <w:sz w:val="20"/>
          <w:szCs w:val="20"/>
          <w:lang w:val="en-GB"/>
        </w:rPr>
        <w:t xml:space="preserve">the 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>Fee Schedule</w:t>
      </w:r>
      <w:r w:rsidR="003060BE" w:rsidRPr="00A43747">
        <w:rPr>
          <w:rFonts w:ascii="Tahoma" w:hAnsi="Tahoma" w:cs="Tahoma"/>
          <w:sz w:val="20"/>
          <w:szCs w:val="20"/>
          <w:lang w:val="en-GB"/>
        </w:rPr>
        <w:t>’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>s</w:t>
      </w:r>
      <w:r w:rsidR="003060BE" w:rsidRPr="00A43747">
        <w:rPr>
          <w:rFonts w:ascii="Tahoma" w:hAnsi="Tahoma" w:cs="Tahoma"/>
          <w:sz w:val="20"/>
          <w:szCs w:val="20"/>
          <w:lang w:val="en-GB"/>
        </w:rPr>
        <w:t xml:space="preserve">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>para</w:t>
      </w:r>
      <w:r w:rsidR="00F34FF0" w:rsidRPr="00A43747">
        <w:rPr>
          <w:rFonts w:ascii="Tahoma" w:hAnsi="Tahoma" w:cs="Tahoma"/>
          <w:sz w:val="20"/>
          <w:szCs w:val="20"/>
          <w:lang w:val="en-GB"/>
        </w:rPr>
        <w:t>s</w:t>
      </w:r>
      <w:r w:rsidRPr="00A43747">
        <w:rPr>
          <w:rFonts w:ascii="Tahoma" w:hAnsi="Tahoma" w:cs="Tahoma"/>
          <w:sz w:val="20"/>
          <w:szCs w:val="20"/>
          <w:lang w:val="en-GB"/>
        </w:rPr>
        <w:t xml:space="preserve"> 3.1</w:t>
      </w:r>
      <w:r w:rsidR="00F34FF0" w:rsidRPr="00A43747">
        <w:rPr>
          <w:rFonts w:ascii="Tahoma" w:hAnsi="Tahoma" w:cs="Tahoma"/>
          <w:sz w:val="20"/>
          <w:szCs w:val="20"/>
          <w:lang w:val="en-GB"/>
        </w:rPr>
        <w:t xml:space="preserve"> and 3.2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 is the</w:t>
      </w:r>
      <w:r w:rsidR="00F34FF0" w:rsidRPr="00A43747">
        <w:rPr>
          <w:rFonts w:ascii="Tahoma" w:hAnsi="Tahoma" w:cs="Tahoma"/>
          <w:sz w:val="20"/>
          <w:szCs w:val="20"/>
          <w:lang w:val="en-GB"/>
        </w:rPr>
        <w:t xml:space="preserve"> Settlement Price of the Futures  set according to the Derivatives Rules upon the result of evening Settlement Session on the most recent Trading Day preceding the Trading Day</w:t>
      </w:r>
      <w:r w:rsidR="00A43747">
        <w:rPr>
          <w:rFonts w:ascii="Tahoma" w:hAnsi="Tahoma" w:cs="Tahoma"/>
          <w:sz w:val="20"/>
          <w:szCs w:val="20"/>
          <w:lang w:val="en-GB"/>
        </w:rPr>
        <w:t xml:space="preserve"> </w:t>
      </w:r>
      <w:r w:rsidR="00E72641" w:rsidRPr="00E72641">
        <w:rPr>
          <w:rFonts w:ascii="Tahoma" w:hAnsi="Tahoma" w:cs="Tahoma"/>
          <w:sz w:val="20"/>
          <w:szCs w:val="20"/>
          <w:lang w:val="en-GB"/>
        </w:rPr>
        <w:t>the Derivatives Contract</w:t>
      </w:r>
      <w:r w:rsidR="00E72641">
        <w:rPr>
          <w:rFonts w:ascii="Tahoma" w:hAnsi="Tahoma" w:cs="Tahoma"/>
          <w:sz w:val="20"/>
          <w:szCs w:val="20"/>
          <w:lang w:val="en-GB"/>
        </w:rPr>
        <w:t>,</w:t>
      </w:r>
      <w:r w:rsidR="00E72641" w:rsidRPr="00E72641">
        <w:rPr>
          <w:rFonts w:ascii="Tahoma" w:hAnsi="Tahoma" w:cs="Tahoma"/>
          <w:sz w:val="20"/>
          <w:szCs w:val="20"/>
          <w:lang w:val="en-GB"/>
        </w:rPr>
        <w:t xml:space="preserve"> 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in respect of which the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E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xchange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F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ee is calculated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,</w:t>
      </w:r>
      <w:r w:rsidR="00E72641" w:rsidRPr="00E72641">
        <w:rPr>
          <w:rFonts w:ascii="Tahoma" w:hAnsi="Tahoma" w:cs="Tahoma"/>
          <w:sz w:val="20"/>
          <w:szCs w:val="20"/>
          <w:lang w:val="en-GB"/>
        </w:rPr>
        <w:t xml:space="preserve"> is concluded</w:t>
      </w:r>
      <w:r w:rsidR="00E72641">
        <w:rPr>
          <w:rFonts w:ascii="Tahoma" w:hAnsi="Tahoma" w:cs="Tahoma"/>
          <w:sz w:val="20"/>
          <w:szCs w:val="20"/>
          <w:lang w:val="en-GB"/>
        </w:rPr>
        <w:t>.</w:t>
      </w:r>
    </w:p>
    <w:p w:rsidR="00E72641" w:rsidRPr="009A4060" w:rsidRDefault="00B06947" w:rsidP="00A43747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color w:val="222222"/>
          <w:sz w:val="20"/>
          <w:szCs w:val="20"/>
          <w:lang w:val="en"/>
        </w:rPr>
        <w:t>For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Derivatives Contracts </w:t>
      </w:r>
      <w:r>
        <w:rPr>
          <w:rFonts w:ascii="Tahoma" w:hAnsi="Tahoma" w:cs="Tahoma"/>
          <w:color w:val="222222"/>
          <w:sz w:val="20"/>
          <w:szCs w:val="20"/>
          <w:lang w:val="en"/>
        </w:rPr>
        <w:t>executed</w:t>
      </w:r>
      <w:r w:rsidR="0060611D">
        <w:rPr>
          <w:rFonts w:ascii="Tahoma" w:hAnsi="Tahoma" w:cs="Tahoma"/>
          <w:color w:val="222222"/>
          <w:sz w:val="20"/>
          <w:szCs w:val="20"/>
          <w:lang w:val="en"/>
        </w:rPr>
        <w:t xml:space="preserve"> on the F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irst Trading Day in which such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 xml:space="preserve">Derivatives 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Contracts are possible (hereinafter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,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the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“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First Trading Day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”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), the value of the futures price </w:t>
      </w:r>
      <w:r w:rsidR="001B574A">
        <w:rPr>
          <w:rFonts w:ascii="Tahoma" w:hAnsi="Tahoma" w:cs="Tahoma"/>
          <w:color w:val="222222"/>
          <w:sz w:val="20"/>
          <w:szCs w:val="20"/>
          <w:lang w:val="en"/>
        </w:rPr>
        <w:t xml:space="preserve">(FutPrice) </w:t>
      </w:r>
      <w:r>
        <w:rPr>
          <w:rFonts w:ascii="Tahoma" w:hAnsi="Tahoma" w:cs="Tahoma"/>
          <w:color w:val="222222"/>
          <w:sz w:val="20"/>
          <w:szCs w:val="20"/>
          <w:lang w:val="en"/>
        </w:rPr>
        <w:t xml:space="preserve">used to </w:t>
      </w:r>
      <w:r w:rsidR="001B574A">
        <w:rPr>
          <w:rFonts w:ascii="Tahoma" w:hAnsi="Tahoma" w:cs="Tahoma"/>
          <w:color w:val="222222"/>
          <w:sz w:val="20"/>
          <w:szCs w:val="20"/>
          <w:lang w:val="en"/>
        </w:rPr>
        <w:t>for calculat</w:t>
      </w:r>
      <w:r>
        <w:rPr>
          <w:rFonts w:ascii="Tahoma" w:hAnsi="Tahoma" w:cs="Tahoma"/>
          <w:color w:val="222222"/>
          <w:sz w:val="20"/>
          <w:szCs w:val="20"/>
          <w:lang w:val="en"/>
        </w:rPr>
        <w:t>e</w:t>
      </w:r>
      <w:r w:rsidR="001B574A">
        <w:rPr>
          <w:rFonts w:ascii="Tahoma" w:hAnsi="Tahoma" w:cs="Tahoma"/>
          <w:color w:val="222222"/>
          <w:sz w:val="20"/>
          <w:szCs w:val="20"/>
          <w:lang w:val="en"/>
        </w:rPr>
        <w:t xml:space="preserve"> the Exchange F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ee in accordance with clauses 3.1 and 3.2 of the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Fee Schedule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shall be ass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umed equal to the value of the I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nitial Settlement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P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rice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 xml:space="preserve">of the futures 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de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fined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by the Exchange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’s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pursuant to the relevant Futures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Specification.</w:t>
      </w:r>
    </w:p>
    <w:p w:rsidR="00B626A1" w:rsidRDefault="00F34FF0" w:rsidP="009A4060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9A4060">
        <w:rPr>
          <w:rFonts w:ascii="Tahoma" w:hAnsi="Tahoma" w:cs="Tahoma"/>
          <w:sz w:val="20"/>
          <w:szCs w:val="20"/>
          <w:lang w:val="en-GB"/>
        </w:rPr>
        <w:t xml:space="preserve">Option Premium (premium) used to calculate the Exchange Fee in accordance with Fee Schedule’s para 3.2 is the theoretical price of the Option set </w:t>
      </w:r>
      <w:r w:rsidR="00B90C61" w:rsidRPr="009A4060">
        <w:rPr>
          <w:rFonts w:ascii="Tahoma" w:hAnsi="Tahoma" w:cs="Tahoma"/>
          <w:sz w:val="20"/>
          <w:szCs w:val="20"/>
          <w:lang w:val="en-GB"/>
        </w:rPr>
        <w:t>upon the result evening Settlement Session on the most recent Trading Day preceding the Trading Day on which the settlement is made</w:t>
      </w:r>
      <w:r w:rsidR="00740C6F">
        <w:rPr>
          <w:rFonts w:ascii="Tahoma" w:hAnsi="Tahoma" w:cs="Tahoma"/>
          <w:sz w:val="20"/>
          <w:szCs w:val="20"/>
          <w:lang w:val="en-GB"/>
        </w:rPr>
        <w:t xml:space="preserve">, </w:t>
      </w:r>
      <w:r w:rsidR="00740C6F" w:rsidRPr="00740C6F">
        <w:rPr>
          <w:rFonts w:ascii="Tahoma" w:hAnsi="Tahoma" w:cs="Tahoma"/>
          <w:sz w:val="20"/>
          <w:szCs w:val="20"/>
          <w:lang w:val="en-GB"/>
        </w:rPr>
        <w:t xml:space="preserve">in accordance with the Methodology </w:t>
      </w:r>
      <w:r w:rsidR="002344C3">
        <w:rPr>
          <w:rFonts w:ascii="Tahoma" w:hAnsi="Tahoma" w:cs="Tahoma"/>
          <w:color w:val="222222"/>
          <w:sz w:val="20"/>
          <w:szCs w:val="20"/>
          <w:lang w:val="en"/>
        </w:rPr>
        <w:t>for</w:t>
      </w:r>
      <w:r w:rsidR="00740C6F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 calculatin</w:t>
      </w:r>
      <w:r w:rsidR="002344C3">
        <w:rPr>
          <w:rFonts w:ascii="Tahoma" w:hAnsi="Tahoma" w:cs="Tahoma"/>
          <w:color w:val="222222"/>
          <w:sz w:val="20"/>
          <w:szCs w:val="20"/>
          <w:lang w:val="en"/>
        </w:rPr>
        <w:t>g the theoretical price of the O</w:t>
      </w:r>
      <w:r w:rsidR="00740C6F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ption and the </w:t>
      </w:r>
      <w:r w:rsidR="00740C6F">
        <w:rPr>
          <w:rFonts w:ascii="Tahoma" w:hAnsi="Tahoma" w:cs="Tahoma"/>
          <w:color w:val="222222"/>
          <w:sz w:val="20"/>
          <w:szCs w:val="20"/>
          <w:lang w:val="en"/>
        </w:rPr>
        <w:t xml:space="preserve">“delta” </w:t>
      </w:r>
      <w:r w:rsidR="00740C6F" w:rsidRPr="00740C6F">
        <w:rPr>
          <w:rFonts w:ascii="Tahoma" w:hAnsi="Tahoma" w:cs="Tahoma"/>
          <w:color w:val="222222"/>
          <w:sz w:val="20"/>
          <w:szCs w:val="20"/>
          <w:lang w:val="en"/>
        </w:rPr>
        <w:t>coefficient</w:t>
      </w:r>
      <w:r w:rsidR="00740C6F">
        <w:rPr>
          <w:rFonts w:ascii="Tahoma" w:hAnsi="Tahoma" w:cs="Tahoma"/>
          <w:sz w:val="20"/>
          <w:szCs w:val="20"/>
          <w:lang w:val="en-GB"/>
        </w:rPr>
        <w:t>, approved by the Exchange.</w:t>
      </w:r>
      <w:r w:rsidRPr="009A4060">
        <w:rPr>
          <w:rFonts w:ascii="Tahoma" w:hAnsi="Tahoma" w:cs="Tahoma"/>
          <w:sz w:val="20"/>
          <w:szCs w:val="20"/>
          <w:lang w:val="en-GB"/>
        </w:rPr>
        <w:t xml:space="preserve">  </w:t>
      </w:r>
    </w:p>
    <w:p w:rsidR="00B626A1" w:rsidRDefault="00B06947" w:rsidP="00B626A1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color w:val="222222"/>
          <w:sz w:val="20"/>
          <w:szCs w:val="20"/>
          <w:lang w:val="en"/>
        </w:rPr>
        <w:t>For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</w:t>
      </w:r>
      <w:r w:rsidR="00A24E02">
        <w:rPr>
          <w:rFonts w:ascii="Tahoma" w:hAnsi="Tahoma" w:cs="Tahoma"/>
          <w:color w:val="222222"/>
          <w:sz w:val="20"/>
          <w:szCs w:val="20"/>
          <w:lang w:val="en"/>
        </w:rPr>
        <w:t>Options executed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on the </w:t>
      </w:r>
      <w:r w:rsidR="0060611D">
        <w:rPr>
          <w:rFonts w:ascii="Tahoma" w:hAnsi="Tahoma" w:cs="Tahoma"/>
          <w:color w:val="222222"/>
          <w:sz w:val="20"/>
          <w:szCs w:val="20"/>
          <w:lang w:val="en"/>
        </w:rPr>
        <w:t>F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irst Trading Day, the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option premium (Premium) </w:t>
      </w:r>
      <w:r>
        <w:rPr>
          <w:rFonts w:ascii="Tahoma" w:hAnsi="Tahoma" w:cs="Tahoma"/>
          <w:color w:val="222222"/>
          <w:sz w:val="20"/>
          <w:szCs w:val="20"/>
          <w:lang w:val="en"/>
        </w:rPr>
        <w:t xml:space="preserve">used </w:t>
      </w:r>
      <w:r w:rsidR="0060611D">
        <w:rPr>
          <w:rFonts w:ascii="Tahoma" w:hAnsi="Tahoma" w:cs="Tahoma"/>
          <w:color w:val="222222"/>
          <w:sz w:val="20"/>
          <w:szCs w:val="20"/>
          <w:lang w:val="en"/>
        </w:rPr>
        <w:t>to calculate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 the Exchange F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ee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in accordance with clause 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3.2 of the </w:t>
      </w:r>
      <w:r w:rsidR="001F4E69">
        <w:rPr>
          <w:rFonts w:ascii="Tahoma" w:hAnsi="Tahoma" w:cs="Tahoma"/>
          <w:color w:val="222222"/>
          <w:sz w:val="20"/>
          <w:szCs w:val="20"/>
          <w:lang w:val="en"/>
        </w:rPr>
        <w:t>Fee Schedule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shall be assumed equal to the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theoretical price of the </w:t>
      </w:r>
      <w:r w:rsidR="001F4E69">
        <w:rPr>
          <w:rFonts w:ascii="Tahoma" w:hAnsi="Tahoma" w:cs="Tahoma"/>
          <w:color w:val="222222"/>
          <w:sz w:val="20"/>
          <w:szCs w:val="20"/>
          <w:lang w:val="en"/>
        </w:rPr>
        <w:t>O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>ption calculated (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>determined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>)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at the beginning of the Trading Day </w:t>
      </w:r>
      <w:r w:rsidR="00B626A1" w:rsidRPr="00740C6F">
        <w:rPr>
          <w:rFonts w:ascii="Tahoma" w:hAnsi="Tahoma" w:cs="Tahoma"/>
          <w:sz w:val="20"/>
          <w:szCs w:val="20"/>
          <w:lang w:val="en-GB"/>
        </w:rPr>
        <w:t xml:space="preserve">in accordance with the Methodology </w:t>
      </w:r>
      <w:r w:rsidR="001F4E69">
        <w:rPr>
          <w:rFonts w:ascii="Tahoma" w:hAnsi="Tahoma" w:cs="Tahoma"/>
          <w:sz w:val="20"/>
          <w:szCs w:val="20"/>
          <w:lang w:val="en-GB"/>
        </w:rPr>
        <w:t>for</w:t>
      </w:r>
      <w:r w:rsidR="00B626A1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 calculating the theoretical price of the </w:t>
      </w:r>
      <w:r w:rsidR="001F4E69">
        <w:rPr>
          <w:rFonts w:ascii="Tahoma" w:hAnsi="Tahoma" w:cs="Tahoma"/>
          <w:color w:val="222222"/>
          <w:sz w:val="20"/>
          <w:szCs w:val="20"/>
          <w:lang w:val="en"/>
        </w:rPr>
        <w:t>O</w:t>
      </w:r>
      <w:r w:rsidR="00B626A1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ption and the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“delta” </w:t>
      </w:r>
      <w:r w:rsidR="00B626A1" w:rsidRPr="00740C6F">
        <w:rPr>
          <w:rFonts w:ascii="Tahoma" w:hAnsi="Tahoma" w:cs="Tahoma"/>
          <w:color w:val="222222"/>
          <w:sz w:val="20"/>
          <w:szCs w:val="20"/>
          <w:lang w:val="en"/>
        </w:rPr>
        <w:t>coefficient</w:t>
      </w:r>
      <w:r w:rsidR="00B626A1">
        <w:rPr>
          <w:rFonts w:ascii="Tahoma" w:hAnsi="Tahoma" w:cs="Tahoma"/>
          <w:sz w:val="20"/>
          <w:szCs w:val="20"/>
          <w:lang w:val="en-GB"/>
        </w:rPr>
        <w:t xml:space="preserve"> approved by the Exchange.</w:t>
      </w:r>
      <w:r w:rsidR="00B626A1" w:rsidRPr="009A4060">
        <w:rPr>
          <w:rFonts w:ascii="Tahoma" w:hAnsi="Tahoma" w:cs="Tahoma"/>
          <w:sz w:val="20"/>
          <w:szCs w:val="20"/>
          <w:lang w:val="en-GB"/>
        </w:rPr>
        <w:t xml:space="preserve">  </w:t>
      </w:r>
    </w:p>
    <w:p w:rsidR="00A87A80" w:rsidRPr="00A87A80" w:rsidRDefault="002344C3" w:rsidP="00A87A80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A87A80">
        <w:rPr>
          <w:rFonts w:ascii="Tahoma" w:hAnsi="Tahoma" w:cs="Tahoma"/>
          <w:sz w:val="20"/>
          <w:szCs w:val="20"/>
          <w:lang w:val="en-GB"/>
        </w:rPr>
        <w:t xml:space="preserve">The Exchange shall post </w:t>
      </w:r>
      <w:r w:rsidR="00A87A80" w:rsidRPr="00A87A80">
        <w:rPr>
          <w:rFonts w:ascii="Tahoma" w:hAnsi="Tahoma" w:cs="Tahoma"/>
          <w:sz w:val="20"/>
          <w:szCs w:val="20"/>
          <w:lang w:val="en-US"/>
        </w:rPr>
        <w:t xml:space="preserve">the reference data on the applicable futures settlement price and the Exchange Fee’s absolute values calculated in accordance with </w:t>
      </w:r>
      <w:r w:rsidR="00A87A80" w:rsidRPr="00A87A80">
        <w:rPr>
          <w:rFonts w:ascii="Tahoma" w:hAnsi="Tahoma" w:cs="Tahoma"/>
          <w:sz w:val="20"/>
          <w:szCs w:val="20"/>
          <w:lang w:val="en-GB"/>
        </w:rPr>
        <w:t>Fee Schedule’s paras 3.1 and 3.2</w:t>
      </w:r>
      <w:r w:rsidR="00A87A80" w:rsidRPr="00A87A80">
        <w:rPr>
          <w:rFonts w:ascii="Tahoma" w:hAnsi="Tahoma" w:cs="Tahoma"/>
          <w:sz w:val="20"/>
          <w:szCs w:val="20"/>
          <w:lang w:val="en-US"/>
        </w:rPr>
        <w:t xml:space="preserve"> (in RUB) on or before the Trading Day following the date the settlement price for calculating the price of the futures (FutPrice) / theoretical price for calculating the Option Premium  (Premium). </w:t>
      </w:r>
    </w:p>
    <w:p w:rsidR="00D47EC8" w:rsidRDefault="00D47EC8" w:rsidP="00B626A1">
      <w:pPr>
        <w:pStyle w:val="a6"/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</w:p>
    <w:p w:rsidR="00B43F23" w:rsidRDefault="00B43F23" w:rsidP="00B626A1">
      <w:pPr>
        <w:pStyle w:val="a6"/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</w:p>
    <w:p w:rsidR="00B43F23" w:rsidRDefault="00B43F23" w:rsidP="00B626A1">
      <w:pPr>
        <w:pStyle w:val="a6"/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</w:p>
    <w:p w:rsidR="00B43F23" w:rsidRDefault="00B43F23" w:rsidP="00B626A1">
      <w:pPr>
        <w:pStyle w:val="a6"/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</w:p>
    <w:p w:rsidR="00B43F23" w:rsidRPr="009A4060" w:rsidRDefault="00B43F23" w:rsidP="00B626A1">
      <w:pPr>
        <w:pStyle w:val="a6"/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</w:p>
    <w:p w:rsidR="002D200D" w:rsidRDefault="00A13843" w:rsidP="00A43747">
      <w:pPr>
        <w:pStyle w:val="a5"/>
        <w:numPr>
          <w:ilvl w:val="1"/>
          <w:numId w:val="55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lastRenderedPageBreak/>
        <w:t xml:space="preserve">Groups of </w:t>
      </w:r>
      <w:r w:rsidR="001404DB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Contracts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by Types of Underlying Assets</w:t>
      </w:r>
    </w:p>
    <w:p w:rsidR="00D93E4E" w:rsidRPr="00315486" w:rsidRDefault="00D93E4E" w:rsidP="00D93E4E">
      <w:pPr>
        <w:pStyle w:val="a5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  <w:lang w:val="en-GB"/>
        </w:rPr>
      </w:pPr>
    </w:p>
    <w:tbl>
      <w:tblPr>
        <w:tblStyle w:val="2"/>
        <w:tblW w:w="95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476"/>
        <w:gridCol w:w="4506"/>
        <w:gridCol w:w="1641"/>
        <w:gridCol w:w="1536"/>
      </w:tblGrid>
      <w:tr w:rsidR="00C066B7" w:rsidRPr="00CC0E98" w:rsidTr="00E358F1">
        <w:trPr>
          <w:jc w:val="center"/>
        </w:trPr>
        <w:tc>
          <w:tcPr>
            <w:tcW w:w="412" w:type="dxa"/>
            <w:shd w:val="clear" w:color="auto" w:fill="A6A6A6" w:themeFill="background1" w:themeFillShade="A6"/>
          </w:tcPr>
          <w:p w:rsidR="00C066B7" w:rsidRPr="00315486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6A6A6" w:themeFill="background1" w:themeFillShade="A6"/>
          </w:tcPr>
          <w:p w:rsidR="00C066B7" w:rsidRPr="00315486" w:rsidRDefault="00C066B7" w:rsidP="000F67FD">
            <w:pPr>
              <w:pStyle w:val="a5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1548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Group of contracts</w:t>
            </w:r>
          </w:p>
        </w:tc>
        <w:tc>
          <w:tcPr>
            <w:tcW w:w="4506" w:type="dxa"/>
            <w:shd w:val="clear" w:color="auto" w:fill="A6A6A6" w:themeFill="background1" w:themeFillShade="A6"/>
          </w:tcPr>
          <w:p w:rsidR="00C066B7" w:rsidRPr="00315486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1548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Underlying asset sub-group</w:t>
            </w:r>
          </w:p>
        </w:tc>
        <w:tc>
          <w:tcPr>
            <w:tcW w:w="1641" w:type="dxa"/>
            <w:shd w:val="clear" w:color="auto" w:fill="A6A6A6" w:themeFill="background1" w:themeFillShade="A6"/>
          </w:tcPr>
          <w:p w:rsidR="00C066B7" w:rsidRPr="00315486" w:rsidRDefault="00C066B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 Fee (BaseFutFee)</w:t>
            </w:r>
            <w:r w:rsidR="00CC0E9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t</w:t>
            </w:r>
            <w:r w:rsidR="008A5EC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ill 01.11</w:t>
            </w:r>
            <w:r w:rsidR="00CC0E9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.2018</w:t>
            </w:r>
            <w:r w:rsidR="008A5EC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, 19-00 MSK</w:t>
            </w:r>
          </w:p>
        </w:tc>
        <w:tc>
          <w:tcPr>
            <w:tcW w:w="1536" w:type="dxa"/>
            <w:shd w:val="clear" w:color="auto" w:fill="A6A6A6" w:themeFill="background1" w:themeFillShade="A6"/>
          </w:tcPr>
          <w:p w:rsidR="00C066B7" w:rsidRPr="00CC0E98" w:rsidRDefault="00C066B7" w:rsidP="0079594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1548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, %</w:t>
            </w:r>
            <w:r w:rsidR="00CC0E9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from 01.11.2018</w:t>
            </w:r>
            <w:r w:rsidR="008A5EC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, 19-00 MSK</w:t>
            </w:r>
            <w:r w:rsidRPr="00CC0E98">
              <w:rPr>
                <w:rStyle w:val="af1"/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C066B7" w:rsidRPr="00315486" w:rsidTr="00E358F1">
        <w:trPr>
          <w:jc w:val="center"/>
        </w:trPr>
        <w:tc>
          <w:tcPr>
            <w:tcW w:w="412" w:type="dxa"/>
            <w:vAlign w:val="center"/>
          </w:tcPr>
          <w:p w:rsidR="00C066B7" w:rsidRPr="00CC0E98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CC0E98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476" w:type="dxa"/>
            <w:vAlign w:val="center"/>
          </w:tcPr>
          <w:p w:rsidR="00C066B7" w:rsidRPr="00CC0E98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FX Contracts</w:t>
            </w:r>
          </w:p>
        </w:tc>
        <w:tc>
          <w:tcPr>
            <w:tcW w:w="450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Exchange rate of foreign currency against RUB 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Exchange rate of foreign currency against USD 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Exchange rate of USD against foreign currency </w:t>
            </w:r>
          </w:p>
        </w:tc>
        <w:tc>
          <w:tcPr>
            <w:tcW w:w="1641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536" w:type="dxa"/>
            <w:vAlign w:val="center"/>
          </w:tcPr>
          <w:p w:rsidR="00C066B7" w:rsidRPr="007278D0" w:rsidRDefault="00C066B7" w:rsidP="007278D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0.000885</w:t>
            </w:r>
          </w:p>
        </w:tc>
      </w:tr>
      <w:tr w:rsidR="00C066B7" w:rsidRPr="00315486" w:rsidTr="00E358F1">
        <w:trPr>
          <w:jc w:val="center"/>
        </w:trPr>
        <w:tc>
          <w:tcPr>
            <w:tcW w:w="412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Interest Rates Contracts</w:t>
            </w:r>
          </w:p>
        </w:tc>
        <w:tc>
          <w:tcPr>
            <w:tcW w:w="450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1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Interest rated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1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Federal loan bonds (OFZs)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1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Eurobonds of the Russian Federation</w:t>
            </w:r>
          </w:p>
        </w:tc>
        <w:tc>
          <w:tcPr>
            <w:tcW w:w="1641" w:type="dxa"/>
          </w:tcPr>
          <w:p w:rsidR="00C066B7" w:rsidRDefault="00CC0E98" w:rsidP="000F67FD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536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0.003162</w:t>
            </w:r>
          </w:p>
        </w:tc>
      </w:tr>
      <w:tr w:rsidR="00C066B7" w:rsidRPr="00315486" w:rsidTr="00E358F1">
        <w:trPr>
          <w:jc w:val="center"/>
        </w:trPr>
        <w:tc>
          <w:tcPr>
            <w:tcW w:w="412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Securities Contracts</w:t>
            </w:r>
          </w:p>
        </w:tc>
        <w:tc>
          <w:tcPr>
            <w:tcW w:w="450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Shares of Russian issuers 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Shares of foreign issuers </w:t>
            </w:r>
          </w:p>
        </w:tc>
        <w:tc>
          <w:tcPr>
            <w:tcW w:w="1641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536" w:type="dxa"/>
            <w:vAlign w:val="center"/>
          </w:tcPr>
          <w:p w:rsidR="00C066B7" w:rsidRPr="00A35C45" w:rsidRDefault="00C066B7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0.003795</w:t>
            </w:r>
          </w:p>
        </w:tc>
      </w:tr>
      <w:tr w:rsidR="00C066B7" w:rsidRPr="00315486" w:rsidTr="00E358F1">
        <w:trPr>
          <w:jc w:val="center"/>
        </w:trPr>
        <w:tc>
          <w:tcPr>
            <w:tcW w:w="412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Indices Contracts</w:t>
            </w:r>
          </w:p>
        </w:tc>
        <w:tc>
          <w:tcPr>
            <w:tcW w:w="450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0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SE and other indices (except for commodity indices)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0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Russian market volatility</w:t>
            </w:r>
          </w:p>
        </w:tc>
        <w:tc>
          <w:tcPr>
            <w:tcW w:w="1641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536" w:type="dxa"/>
            <w:vAlign w:val="center"/>
          </w:tcPr>
          <w:p w:rsidR="00C066B7" w:rsidRPr="00A35C45" w:rsidRDefault="00C066B7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0.001265</w:t>
            </w:r>
          </w:p>
        </w:tc>
      </w:tr>
      <w:tr w:rsidR="00C066B7" w:rsidRPr="00315486" w:rsidTr="00E358F1">
        <w:trPr>
          <w:jc w:val="center"/>
        </w:trPr>
        <w:tc>
          <w:tcPr>
            <w:tcW w:w="412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Commodities Contracts</w:t>
            </w:r>
          </w:p>
        </w:tc>
        <w:tc>
          <w:tcPr>
            <w:tcW w:w="450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Energy commodities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Metals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Agricultural commodities </w:t>
            </w: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536" w:type="dxa"/>
            <w:vAlign w:val="center"/>
          </w:tcPr>
          <w:p w:rsidR="00C066B7" w:rsidRPr="00A35C45" w:rsidRDefault="00C066B7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0.002530</w:t>
            </w:r>
          </w:p>
        </w:tc>
      </w:tr>
    </w:tbl>
    <w:p w:rsidR="00E358F1" w:rsidRPr="00B43F23" w:rsidRDefault="00E358F1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  <w:lang w:val="en-US"/>
        </w:rPr>
      </w:pPr>
      <w:r w:rsidRPr="00B43F23">
        <w:rPr>
          <w:rFonts w:ascii="Tahoma" w:hAnsi="Tahoma" w:cs="Tahoma"/>
          <w:sz w:val="16"/>
          <w:szCs w:val="16"/>
          <w:lang w:val="en-US"/>
        </w:rPr>
        <w:t>*In bps. 1 bps = 0.01%</w:t>
      </w:r>
    </w:p>
    <w:p w:rsidR="00D80962" w:rsidRPr="00315486" w:rsidRDefault="00D80962" w:rsidP="00D80962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  <w:lang w:val="en-US"/>
        </w:rPr>
      </w:pPr>
      <w:r w:rsidRPr="00315486">
        <w:rPr>
          <w:rFonts w:ascii="Tahoma" w:hAnsi="Tahoma" w:cs="Tahoma"/>
          <w:color w:val="auto"/>
          <w:sz w:val="20"/>
          <w:szCs w:val="20"/>
          <w:lang w:val="en-US"/>
        </w:rPr>
        <w:t>A particular set of underlying assets within each sub-group will be defined by the resolution of the Exchange and disclosed on the Exchange’s website</w:t>
      </w:r>
      <w:r w:rsidR="00834C81">
        <w:rPr>
          <w:rFonts w:ascii="Tahoma" w:hAnsi="Tahoma" w:cs="Tahoma"/>
          <w:color w:val="auto"/>
          <w:sz w:val="20"/>
          <w:szCs w:val="20"/>
          <w:lang w:val="en-US"/>
        </w:rPr>
        <w:t xml:space="preserve"> on or before the day following the data of its approval (approval of amendments and supplements thereto)</w:t>
      </w:r>
      <w:r w:rsidRPr="00315486">
        <w:rPr>
          <w:rFonts w:ascii="Tahoma" w:hAnsi="Tahoma" w:cs="Tahoma"/>
          <w:color w:val="auto"/>
          <w:sz w:val="20"/>
          <w:szCs w:val="20"/>
          <w:lang w:val="en-US"/>
        </w:rPr>
        <w:t>.</w:t>
      </w:r>
    </w:p>
    <w:p w:rsidR="00535BD7" w:rsidRPr="00D93E4E" w:rsidRDefault="00D61A1D" w:rsidP="006461E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SECTION</w:t>
      </w:r>
      <w:r w:rsidR="00535BD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</w:t>
      </w:r>
      <w:r w:rsidR="0038419E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IV</w:t>
      </w:r>
      <w:r w:rsidR="00535BD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. 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Fee</w:t>
      </w:r>
      <w:r w:rsidR="009E4FAC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s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for Calendar Spreads</w:t>
      </w:r>
    </w:p>
    <w:p w:rsidR="00535BD7" w:rsidRPr="00394829" w:rsidRDefault="00BD3CE9" w:rsidP="0078793D">
      <w:pPr>
        <w:pStyle w:val="txt"/>
        <w:numPr>
          <w:ilvl w:val="1"/>
          <w:numId w:val="17"/>
        </w:numPr>
        <w:spacing w:before="24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For the purpose of these </w:t>
      </w:r>
      <w:r w:rsidR="009E4FA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 Schedule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Calendar Spread is taken to mean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concurrent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buying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and selling of 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 </w:t>
      </w:r>
      <w:r w:rsidR="000968B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on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same underlying asset and different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execution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dates by a 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the basis of a Calendar Spread Order </w:t>
      </w:r>
      <w:r w:rsidR="0038416E" w:rsidRPr="00394829">
        <w:rPr>
          <w:rFonts w:ascii="Tahoma" w:hAnsi="Tahoma" w:cs="Tahoma"/>
          <w:color w:val="auto"/>
          <w:sz w:val="20"/>
          <w:szCs w:val="20"/>
          <w:lang w:val="en-GB"/>
        </w:rPr>
        <w:t>(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hereinafter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38416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the ”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Calendar Spread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38416E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535BD7" w:rsidRPr="00394829" w:rsidRDefault="00BD3CE9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 for Calendar Spreads is set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on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each Trading Day for each section of clearing registers on the basis of </w:t>
      </w:r>
      <w:r w:rsidR="00C971B2" w:rsidRPr="00394829">
        <w:rPr>
          <w:rFonts w:ascii="Tahoma" w:hAnsi="Tahoma" w:cs="Tahoma"/>
          <w:color w:val="auto"/>
          <w:sz w:val="20"/>
          <w:szCs w:val="20"/>
          <w:lang w:val="en-US"/>
        </w:rPr>
        <w:t xml:space="preserve">Exchange </w:t>
      </w:r>
      <w:r w:rsidR="00C971B2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ees for </w:t>
      </w:r>
      <w:r w:rsidR="005157E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each of </w:t>
      </w:r>
      <w:r w:rsidR="00C4666A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uture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="00C4666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Contract</w:t>
      </w:r>
      <w:r w:rsidR="005157E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315486">
        <w:rPr>
          <w:rFonts w:ascii="Tahoma" w:hAnsi="Tahoma" w:cs="Tahoma"/>
          <w:color w:val="auto"/>
          <w:sz w:val="20"/>
          <w:szCs w:val="20"/>
          <w:lang w:val="en-GB"/>
        </w:rPr>
        <w:t>executed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the basis of order book or </w:t>
      </w:r>
      <w:r w:rsidR="00C971B2" w:rsidRPr="00394829">
        <w:rPr>
          <w:rFonts w:ascii="Tahoma" w:hAnsi="Tahoma" w:cs="Tahoma"/>
          <w:color w:val="auto"/>
          <w:sz w:val="20"/>
          <w:szCs w:val="20"/>
          <w:lang w:val="en-GB"/>
        </w:rPr>
        <w:t>negotiated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Calendar Spread Orders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535BD7" w:rsidRPr="00394829" w:rsidRDefault="00BD3CE9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Fees for Calendar Spreads for </w:t>
      </w:r>
      <w:r w:rsidR="005157E7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 </w:t>
      </w:r>
      <w:r w:rsidR="0019673C" w:rsidRPr="00394829">
        <w:rPr>
          <w:rFonts w:ascii="Tahoma" w:hAnsi="Tahoma" w:cs="Tahoma"/>
          <w:color w:val="auto"/>
          <w:sz w:val="20"/>
          <w:szCs w:val="20"/>
          <w:lang w:val="en-GB"/>
        </w:rPr>
        <w:t>entered into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the basis of order book </w:t>
      </w:r>
      <w:r w:rsidR="0006551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Calendar Spread Orders </w:t>
      </w:r>
      <w:r w:rsidR="00A62E29">
        <w:rPr>
          <w:rFonts w:ascii="Tahoma" w:hAnsi="Tahoma" w:cs="Tahoma"/>
          <w:color w:val="auto"/>
          <w:sz w:val="20"/>
          <w:szCs w:val="20"/>
          <w:lang w:val="en-GB"/>
        </w:rPr>
        <w:t xml:space="preserve">within a Trading Day </w:t>
      </w:r>
      <w:r w:rsidR="004B58B9" w:rsidRPr="00766D89">
        <w:rPr>
          <w:rFonts w:ascii="Tahoma" w:hAnsi="Tahoma" w:cs="Tahoma"/>
          <w:color w:val="auto"/>
          <w:sz w:val="20"/>
          <w:szCs w:val="20"/>
          <w:lang w:val="en-GB"/>
        </w:rPr>
        <w:t xml:space="preserve">are calculated </w:t>
      </w:r>
      <w:r w:rsidR="00065519" w:rsidRPr="00394829">
        <w:rPr>
          <w:rFonts w:ascii="Tahoma" w:hAnsi="Tahoma" w:cs="Tahoma"/>
          <w:color w:val="auto"/>
          <w:sz w:val="20"/>
          <w:szCs w:val="20"/>
          <w:lang w:val="en-GB"/>
        </w:rPr>
        <w:t>according to the formula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7B0409" w:rsidRPr="000B7A63" w:rsidRDefault="00A43D08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 xml:space="preserve"> = ΣFutFee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 xml:space="preserve"> × (1-K)</m:t>
          </m:r>
        </m:oMath>
      </m:oMathPara>
    </w:p>
    <w:p w:rsidR="00535BD7" w:rsidRPr="00394829" w:rsidRDefault="00065519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where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7488"/>
      </w:tblGrid>
      <w:tr w:rsidR="007412DA" w:rsidRPr="00B43F23" w:rsidTr="008F17BB">
        <w:tc>
          <w:tcPr>
            <w:tcW w:w="1169" w:type="dxa"/>
            <w:vAlign w:val="center"/>
          </w:tcPr>
          <w:p w:rsidR="007412DA" w:rsidRPr="000B7A6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7412DA" w:rsidRPr="00394829" w:rsidRDefault="00F8631B" w:rsidP="00F8631B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for Calendar Spreads based on order book Calendar Spread Orders within </w:t>
            </w:r>
            <w:r w:rsidR="00A62E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Trading Day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</w:t>
            </w:r>
            <w:r w:rsidR="00C44E0E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</w:t>
            </w:r>
            <w:r w:rsidR="00D15222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E6228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;</w:t>
            </w:r>
          </w:p>
        </w:tc>
      </w:tr>
      <w:tr w:rsidR="007412DA" w:rsidRPr="00B43F23" w:rsidTr="008F17BB">
        <w:tc>
          <w:tcPr>
            <w:tcW w:w="1169" w:type="dxa"/>
            <w:vAlign w:val="center"/>
          </w:tcPr>
          <w:p w:rsidR="007412DA" w:rsidRPr="000B7A6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7412DA" w:rsidRPr="00394829" w:rsidRDefault="0019673C" w:rsidP="009839F6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d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iscount rate </w:t>
            </w:r>
            <w:r w:rsidR="00554F73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0.2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effective within the marketing period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.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marketing period is 6 (six) month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from the first Trading Day from which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may be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entered into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on the basis of order book Calendar Spread Orders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.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When the marketing period is over the discount rate is not applied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equals zero</w:t>
            </w:r>
            <w:r w:rsidR="00D15222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E6228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;</w:t>
            </w:r>
          </w:p>
        </w:tc>
      </w:tr>
      <w:tr w:rsidR="007412DA" w:rsidRPr="00B43F23" w:rsidTr="008F17BB">
        <w:tc>
          <w:tcPr>
            <w:tcW w:w="1169" w:type="dxa"/>
            <w:vAlign w:val="center"/>
          </w:tcPr>
          <w:p w:rsidR="007412DA" w:rsidRPr="000B7A63" w:rsidRDefault="00F7523D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ΣFutFee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7412DA" w:rsidRPr="00394829" w:rsidRDefault="00F8631B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xchange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payable for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entering into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based on order book Calendar Spread Order is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according to the following formula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</w:t>
            </w:r>
            <w:r w:rsidR="00C44E0E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):</w:t>
            </w:r>
          </w:p>
          <w:p w:rsidR="005E67DB" w:rsidRPr="000B7A63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GB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vertAlign w:val="subscript"/>
                    <w:lang w:val="en-GB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GB"/>
                  </w:rPr>
                  <m:t>= 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5"/>
                        <w:szCs w:val="15"/>
                        <w:lang w:val="en-GB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5"/>
                            <w:szCs w:val="15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GB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5"/>
                                <w:szCs w:val="15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 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5"/>
                                <w:szCs w:val="15"/>
                                <w:lang w:val="en-GB"/>
                              </w:rPr>
                              <m:t> ×Round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 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GB"/>
                          </w:rPr>
                          <m:t> 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5"/>
                        <w:szCs w:val="15"/>
                        <w:lang w:val="en-GB"/>
                      </w:rPr>
                      <m:t>× BaseFutFee;2</m:t>
                    </m:r>
                  </m:e>
                </m:d>
              </m:oMath>
            </m:oMathPara>
          </w:p>
          <w:p w:rsidR="00482A31" w:rsidRPr="000B7A63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GB"/>
              </w:rPr>
            </w:pPr>
          </w:p>
          <w:p w:rsidR="005E67DB" w:rsidRPr="000B7A63" w:rsidRDefault="004E0C3A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</w:pPr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>where</w:t>
            </w:r>
            <w:r w:rsidR="005E67DB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>:</w:t>
            </w:r>
          </w:p>
          <w:p w:rsidR="00655450" w:rsidRPr="00394829" w:rsidRDefault="00B43F23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1</m:t>
                  </m:r>
                </m:sub>
              </m:sSub>
            </m:oMath>
            <w:r w:rsidR="00655450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he Settlement Price of futures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4073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(with the proximate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expiration</w:t>
            </w:r>
            <w:r w:rsidR="00F40737" w:rsidRPr="00394829">
              <w:rPr>
                <w:rFonts w:ascii="Tahoma" w:hAnsi="Tahoma" w:cs="Tahoma"/>
                <w:color w:val="ED7D31" w:themeColor="accent2"/>
                <w:sz w:val="20"/>
                <w:szCs w:val="20"/>
                <w:lang w:val="en-GB"/>
              </w:rPr>
              <w:t>)</w:t>
            </w:r>
            <w:r w:rsidR="00541FD6">
              <w:rPr>
                <w:rFonts w:ascii="Tahoma" w:hAnsi="Tahoma" w:cs="Tahoma"/>
                <w:color w:val="ED7D31" w:themeColor="accent2"/>
                <w:sz w:val="20"/>
                <w:szCs w:val="20"/>
                <w:lang w:val="en-GB"/>
              </w:rPr>
              <w:t xml:space="preserve">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 in accordance with the 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Rules upon the results of the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the last Trading Day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prior to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Trading Day for which the settlement is made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u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nits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of measure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specified 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the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order’s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price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specified under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relevant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65545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; </w:t>
            </w:r>
          </w:p>
          <w:p w:rsidR="00655450" w:rsidRPr="00394829" w:rsidRDefault="00B43F23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2</m:t>
                  </m:r>
                </m:sub>
              </m:sSub>
            </m:oMath>
            <w:r w:rsidR="00655450" w:rsidRPr="000B7A63">
              <w:rPr>
                <w:rFonts w:ascii="Tahoma" w:hAnsi="Tahoma" w:cs="Tahoma"/>
                <w:color w:val="auto"/>
                <w:sz w:val="22"/>
                <w:szCs w:val="20"/>
                <w:vertAlign w:val="subscript"/>
                <w:lang w:val="en-GB"/>
              </w:rPr>
              <w:t xml:space="preserve"> </w:t>
            </w:r>
            <w:r w:rsidR="00655450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–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total value of the Settlement Price of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(with the proximate expiration)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determined in accordance with the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Rules upon the results of the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the last Trading Day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prior to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Trading Day for which the settlement is made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,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and the size of the spread (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units of measure 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the 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order’s price 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specified </w:t>
            </w:r>
            <w:r w:rsidR="001A575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under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relevant </w:t>
            </w:r>
            <w:r w:rsidR="001A575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Specifications</w:t>
            </w:r>
            <w:r w:rsidR="0065545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); </w:t>
            </w:r>
          </w:p>
          <w:p w:rsidR="00254636" w:rsidRPr="00394829" w:rsidRDefault="00254636" w:rsidP="00254636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R(f)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tick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set force in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relevant Futures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Specifications;</w:t>
            </w:r>
          </w:p>
          <w:p w:rsidR="00655450" w:rsidRPr="00394829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  <w:lang w:val="en-GB"/>
                </w:rPr>
                <m:t>W(f)</m:t>
              </m:r>
            </m:oMath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–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>the value of a tick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 xml:space="preserve"> set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 xml:space="preserve"> forth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 xml:space="preserve"> in the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relevant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RUB)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>;</w:t>
            </w:r>
          </w:p>
          <w:p w:rsidR="00655450" w:rsidRPr="00394829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BaseFutFee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Futures’ fee 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base rate  for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G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roup of </w:t>
            </w:r>
            <w:r w:rsidR="00941BFF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ontracts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,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to which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utures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relates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. The rate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is established in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E731B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Fee Schedule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’</w:t>
            </w:r>
            <w:r w:rsidR="00E731B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para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3.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5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;</w:t>
            </w:r>
          </w:p>
          <w:p w:rsidR="004C6B02" w:rsidRPr="000B7A63" w:rsidRDefault="00655450" w:rsidP="00626C71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Round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626C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mathematical </w:t>
            </w:r>
            <w:r w:rsidR="00256C4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rounding </w:t>
            </w:r>
            <w:r w:rsidR="00626C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to the specified</w:t>
            </w:r>
            <w:r w:rsidR="00256C4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precision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.</w:t>
            </w:r>
          </w:p>
        </w:tc>
      </w:tr>
    </w:tbl>
    <w:p w:rsidR="00535BD7" w:rsidRPr="00394829" w:rsidRDefault="00DD4EB5" w:rsidP="00FA509F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lastRenderedPageBreak/>
        <w:t>Fee</w:t>
      </w:r>
      <w:r w:rsidR="004B58B9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for Calendar Spreads for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 </w:t>
      </w:r>
      <w:r w:rsidR="00B7563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entered into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on the basis of </w:t>
      </w:r>
      <w:r w:rsidR="0086366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negotiated </w:t>
      </w:r>
      <w:r w:rsidR="00B7563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86366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Calendar Spread Orders within a Trading Day </w:t>
      </w:r>
      <w:r w:rsidR="004B58B9" w:rsidRPr="00394829">
        <w:rPr>
          <w:rFonts w:ascii="Tahoma" w:hAnsi="Tahoma" w:cs="Tahoma"/>
          <w:color w:val="auto"/>
          <w:sz w:val="20"/>
          <w:szCs w:val="20"/>
          <w:lang w:val="en-GB"/>
        </w:rPr>
        <w:t>are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4B58B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calculated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according to the formula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535BD7" w:rsidRPr="000B7A63" w:rsidRDefault="00FA509F" w:rsidP="006879E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 xml:space="preserve"> = ΣFutFee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</m:oMath>
      </m:oMathPara>
    </w:p>
    <w:p w:rsidR="00FA509F" w:rsidRPr="000B7A63" w:rsidRDefault="00DD4EB5" w:rsidP="00FA509F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  <w:r w:rsidRPr="000B7A63">
        <w:rPr>
          <w:rFonts w:ascii="Tahoma" w:hAnsi="Tahoma" w:cs="Tahoma"/>
          <w:color w:val="auto"/>
          <w:sz w:val="22"/>
          <w:szCs w:val="20"/>
          <w:lang w:val="en-GB"/>
        </w:rPr>
        <w:t>where</w:t>
      </w:r>
      <w:r w:rsidR="00FA509F" w:rsidRPr="000B7A63">
        <w:rPr>
          <w:rFonts w:ascii="Tahoma" w:hAnsi="Tahoma" w:cs="Tahoma"/>
          <w:color w:val="auto"/>
          <w:sz w:val="22"/>
          <w:szCs w:val="20"/>
          <w:lang w:val="en-GB"/>
        </w:rPr>
        <w:t>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7439"/>
      </w:tblGrid>
      <w:tr w:rsidR="00FA509F" w:rsidRPr="00B43F23" w:rsidTr="006903F7">
        <w:tc>
          <w:tcPr>
            <w:tcW w:w="1169" w:type="dxa"/>
            <w:vAlign w:val="center"/>
          </w:tcPr>
          <w:p w:rsidR="00FA509F" w:rsidRPr="000B7A63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FA509F" w:rsidRPr="000B7A63" w:rsidRDefault="00F8631B" w:rsidP="00F8631B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F</w:t>
            </w:r>
            <w:r w:rsidR="00DD4E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for Calendar Spreads 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based </w:t>
            </w:r>
            <w:r w:rsidR="00DD4E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</w:t>
            </w:r>
            <w:r w:rsidR="0039476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negotiated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Calendar Spread Orders within a Trading Day (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RUB)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;</w:t>
            </w:r>
          </w:p>
        </w:tc>
      </w:tr>
      <w:tr w:rsidR="00FA509F" w:rsidRPr="00B43F23" w:rsidTr="006903F7">
        <w:tc>
          <w:tcPr>
            <w:tcW w:w="1169" w:type="dxa"/>
            <w:vAlign w:val="center"/>
          </w:tcPr>
          <w:p w:rsidR="00FA509F" w:rsidRPr="000B7A63" w:rsidRDefault="00541FD6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 xml:space="preserve"> ΣFutFee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FA509F" w:rsidRPr="00394829" w:rsidRDefault="00541FD6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</w:t>
            </w:r>
            <w:r w:rsidR="00F8631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he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total </w:t>
            </w:r>
            <w:r w:rsidR="00F8631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xchange 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payable for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entering into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each of the </w:t>
            </w:r>
            <w:r w:rsidR="0039476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based on </w:t>
            </w:r>
            <w:r w:rsidR="0039476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negotiated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Calendar Spread Order is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according to the following formula (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RUB)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  <w:p w:rsidR="00FA509F" w:rsidRPr="000B7A63" w:rsidRDefault="00FA509F" w:rsidP="006903F7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lang w:val="en-GB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vertAlign w:val="subscript"/>
                    <w:lang w:val="en-GB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lang w:val="en-GB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9"/>
                        <w:lang w:val="en-GB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GB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9"/>
                            <w:lang w:val="en-GB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GB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  <m:t>;5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GB"/>
                          </w:rPr>
                          <m:t> 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GB"/>
                      </w:rPr>
                      <m:t>× BaseFutFee;2</m:t>
                    </m:r>
                  </m:e>
                </m:d>
              </m:oMath>
            </m:oMathPara>
          </w:p>
          <w:p w:rsidR="00FA509F" w:rsidRPr="00394829" w:rsidRDefault="00590FB0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where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  <w:p w:rsidR="00FA509F" w:rsidRPr="00394829" w:rsidRDefault="00B43F23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1</m:t>
                  </m:r>
                </m:sub>
              </m:sSub>
            </m:oMath>
            <w:r w:rsidR="00FA509F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Settlement Price of the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(with the proximate expiration)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, set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in accordance with the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Rules upon the results of the </w:t>
            </w:r>
            <w:r w:rsidR="00577821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7821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the last Trading Day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prior to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Trading Day for which the settlement is made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units of measure 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order’s price 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specified under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relevant 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Futures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); </w:t>
            </w:r>
          </w:p>
          <w:p w:rsidR="00FA509F" w:rsidRPr="00394829" w:rsidRDefault="00B43F23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2</m:t>
                  </m:r>
                </m:sub>
              </m:sSub>
            </m:oMath>
            <w:r w:rsidR="00FA509F" w:rsidRPr="000B7A63">
              <w:rPr>
                <w:rFonts w:ascii="Tahoma" w:hAnsi="Tahoma" w:cs="Tahoma"/>
                <w:color w:val="auto"/>
                <w:sz w:val="22"/>
                <w:szCs w:val="20"/>
                <w:vertAlign w:val="subscript"/>
                <w:lang w:val="en-GB"/>
              </w:rPr>
              <w:t xml:space="preserve"> </w:t>
            </w:r>
            <w:r w:rsidR="00FA509F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–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total of the Settlement Price of 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(with the proximate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expiration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, set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in accordance with the 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Rules upon the results of the la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st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on the last Trading Day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prior to the 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Trading Day for which the settlement is made</w:t>
            </w:r>
            <w:r w:rsidR="00414097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>,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and the size of the spread (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units of measure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the</w:t>
            </w:r>
            <w:r w:rsidR="00F8631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 order’s price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specified under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relevant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Specifications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); </w:t>
            </w:r>
          </w:p>
          <w:p w:rsidR="00F8631B" w:rsidRPr="00394829" w:rsidRDefault="00F8631B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R(f)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Futures tick set force in the relevant Futures Specifications;</w:t>
            </w:r>
          </w:p>
          <w:p w:rsidR="00F8631B" w:rsidRPr="00394829" w:rsidRDefault="00FA509F" w:rsidP="00F8631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W(f)</m:t>
              </m:r>
            </m:oMath>
            <w:r w:rsidR="00B74895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value of a tick set forth in the relevant Futures Specifications (in RUB);</w:t>
            </w:r>
          </w:p>
          <w:p w:rsidR="00F8631B" w:rsidRPr="00394829" w:rsidRDefault="00FA509F" w:rsidP="00F8631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BaseFutFee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Futures’ fee base rate  for the Group of </w:t>
            </w:r>
            <w:r w:rsidR="00541FD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Contracts, to which the Futures relates. The rate is established in the Fee Schedule’s para 3.</w:t>
            </w:r>
            <w:r w:rsidR="00577821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5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;</w:t>
            </w:r>
          </w:p>
          <w:p w:rsidR="00FA509F" w:rsidRPr="000B7A63" w:rsidRDefault="00FA509F" w:rsidP="00B01D9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Round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mathematical rounding to the specified precision.</w:t>
            </w:r>
          </w:p>
        </w:tc>
      </w:tr>
    </w:tbl>
    <w:p w:rsidR="00535BD7" w:rsidRDefault="00F8631B" w:rsidP="00E731B9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lastRenderedPageBreak/>
        <w:t xml:space="preserve">The 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Exchange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ee 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>set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in 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>’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D15222" w:rsidRPr="00394829">
        <w:rPr>
          <w:rFonts w:ascii="Tahoma" w:hAnsi="Tahoma" w:cs="Tahoma"/>
          <w:color w:val="auto"/>
          <w:sz w:val="20"/>
          <w:szCs w:val="20"/>
          <w:lang w:val="en-GB"/>
        </w:rPr>
        <w:t>para</w:t>
      </w:r>
      <w:r w:rsidR="00C81E8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3.</w:t>
      </w:r>
      <w:r w:rsidR="00037C8A" w:rsidRPr="00394829">
        <w:rPr>
          <w:rFonts w:ascii="Tahoma" w:hAnsi="Tahoma" w:cs="Tahoma"/>
          <w:color w:val="auto"/>
          <w:sz w:val="20"/>
          <w:szCs w:val="20"/>
          <w:lang w:val="en-GB"/>
        </w:rPr>
        <w:t>3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for 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registration of 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calping 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>trades is not applied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for Calendar Spreads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 </w:t>
      </w:r>
    </w:p>
    <w:p w:rsidR="0079594F" w:rsidRPr="00394829" w:rsidRDefault="0079594F" w:rsidP="0079594F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</w:p>
    <w:p w:rsidR="00815E64" w:rsidRPr="00D93E4E" w:rsidRDefault="00B74895" w:rsidP="0038419E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SECTION</w:t>
      </w:r>
      <w:r w:rsidR="0038419E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V</w:t>
      </w:r>
      <w:r w:rsidR="006A1CD1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. 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Marketing Programme “Commodit</w:t>
      </w:r>
      <w:r w:rsidR="00F61CF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ies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Futures</w:t>
      </w:r>
      <w:r w:rsidR="00F61CF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Development</w:t>
      </w:r>
      <w:r w:rsidR="00BC7D28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(BRENT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and </w:t>
      </w:r>
      <w:r w:rsidR="00F61CF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G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old</w:t>
      </w:r>
      <w:r w:rsidR="00BC7D28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)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”</w:t>
      </w:r>
    </w:p>
    <w:p w:rsidR="009B1340" w:rsidRPr="00394829" w:rsidRDefault="00B74895" w:rsidP="00B7489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Marketing programme “Commodit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Development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(BRENT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and 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old)”</w:t>
      </w:r>
      <w:r w:rsidR="002F2BF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(hereinafter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2F2BF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“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>Commodit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>Programme</w:t>
      </w:r>
      <w:r w:rsidR="00A90432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 xml:space="preserve"> or the “Programme”) is</w:t>
      </w:r>
      <w:r w:rsidR="002958A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A90432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incentive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programme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providing to </w:t>
      </w:r>
      <w:r w:rsidR="000E1629" w:rsidRPr="00394829">
        <w:rPr>
          <w:rFonts w:ascii="Tahoma" w:hAnsi="Tahoma" w:cs="Tahoma"/>
          <w:color w:val="auto"/>
          <w:sz w:val="20"/>
          <w:szCs w:val="20"/>
          <w:lang w:val="en-GB"/>
        </w:rPr>
        <w:t>Trading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Members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the E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xchange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ee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’s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 xml:space="preserve">rebates in the form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of premium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(hereinafter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“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>Premium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2958A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>for meeting conditions set by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2958AB" w:rsidRPr="00394829" w:rsidRDefault="007F786C" w:rsidP="00831DEB">
      <w:pPr>
        <w:pStyle w:val="txt"/>
        <w:numPr>
          <w:ilvl w:val="0"/>
          <w:numId w:val="41"/>
        </w:numPr>
        <w:spacing w:before="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subpara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73C5D" w:rsidRPr="00394829">
        <w:rPr>
          <w:rFonts w:ascii="Tahoma" w:hAnsi="Tahoma" w:cs="Tahoma"/>
          <w:color w:val="auto"/>
          <w:sz w:val="20"/>
          <w:szCs w:val="20"/>
          <w:lang w:val="en-GB"/>
        </w:rPr>
        <w:t>5</w:t>
      </w:r>
      <w:r w:rsidR="00647799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>3</w:t>
      </w:r>
      <w:r w:rsidR="00C74EB6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 Schedule </w:t>
      </w:r>
      <w:r w:rsidR="00C74EB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AF668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–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for the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Commodit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Programme</w:t>
      </w:r>
      <w:r w:rsidR="00D15222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842D87" w:rsidRPr="00394829" w:rsidRDefault="007F786C" w:rsidP="00842D87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aim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to increase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trading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volume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of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the specified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utures, to develop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their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client base and increase the bankability of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D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erivatives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M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arket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’s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554F73" w:rsidRPr="00394829">
        <w:rPr>
          <w:rFonts w:ascii="Tahoma" w:hAnsi="Tahoma" w:cs="Tahoma"/>
          <w:color w:val="auto"/>
          <w:sz w:val="20"/>
          <w:szCs w:val="20"/>
          <w:lang w:val="en-GB"/>
        </w:rPr>
        <w:t>instruments for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institutional investors</w:t>
      </w:r>
      <w:r w:rsidR="00205519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4102B9" w:rsidRPr="00394829" w:rsidRDefault="007F786C" w:rsidP="009E2661">
      <w:pPr>
        <w:pStyle w:val="txt"/>
        <w:numPr>
          <w:ilvl w:val="2"/>
          <w:numId w:val="24"/>
        </w:numPr>
        <w:spacing w:before="120" w:beforeAutospacing="0" w:after="0" w:afterAutospacing="0"/>
        <w:ind w:hanging="11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period of the </w:t>
      </w:r>
      <w:r w:rsidR="00E31B48" w:rsidRPr="00394829">
        <w:rPr>
          <w:rFonts w:ascii="Tahoma" w:hAnsi="Tahoma" w:cs="Tahoma"/>
          <w:color w:val="auto"/>
          <w:sz w:val="20"/>
          <w:szCs w:val="20"/>
          <w:lang w:val="en-GB"/>
        </w:rPr>
        <w:t>Commodities Futures Development Programme</w:t>
      </w:r>
      <w:r w:rsidR="00F04855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4102B9" w:rsidRPr="00C67FCF" w:rsidRDefault="00E775BC" w:rsidP="00831DEB">
      <w:pPr>
        <w:pStyle w:val="txt"/>
        <w:numPr>
          <w:ilvl w:val="2"/>
          <w:numId w:val="24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C67FCF">
        <w:rPr>
          <w:rFonts w:ascii="Tahoma" w:hAnsi="Tahoma" w:cs="Tahoma"/>
          <w:color w:val="auto"/>
          <w:sz w:val="20"/>
          <w:szCs w:val="20"/>
          <w:lang w:val="en-GB"/>
        </w:rPr>
        <w:t>3 (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>three</w:t>
      </w:r>
      <w:r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) 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>years</w:t>
      </w:r>
      <w:r w:rsidR="00DE10AB" w:rsidRPr="00C67FCF">
        <w:rPr>
          <w:rFonts w:ascii="Tahoma" w:hAnsi="Tahoma" w:cs="Tahoma"/>
          <w:color w:val="auto"/>
          <w:sz w:val="20"/>
          <w:szCs w:val="20"/>
          <w:lang w:val="en-GB"/>
        </w:rPr>
        <w:t>: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 from </w:t>
      </w:r>
      <w:r w:rsidR="00DE10AB" w:rsidRPr="00C67FCF">
        <w:rPr>
          <w:rFonts w:ascii="Tahoma" w:hAnsi="Tahoma" w:cs="Tahoma"/>
          <w:color w:val="auto"/>
          <w:sz w:val="20"/>
          <w:szCs w:val="22"/>
          <w:lang w:val="en-GB"/>
        </w:rPr>
        <w:t>October 03, 2016 (starting from 19:00 Mo</w:t>
      </w:r>
      <w:r w:rsidR="009E2661">
        <w:rPr>
          <w:rFonts w:ascii="Tahoma" w:hAnsi="Tahoma" w:cs="Tahoma"/>
          <w:color w:val="auto"/>
          <w:sz w:val="20"/>
          <w:szCs w:val="22"/>
          <w:lang w:val="en-GB"/>
        </w:rPr>
        <w:t>scow time) till October 02, 2019</w:t>
      </w:r>
      <w:r w:rsidR="00DE10AB" w:rsidRPr="00C67FCF">
        <w:rPr>
          <w:rFonts w:ascii="Tahoma" w:hAnsi="Tahoma" w:cs="Tahoma"/>
          <w:color w:val="auto"/>
          <w:sz w:val="20"/>
          <w:szCs w:val="22"/>
          <w:lang w:val="en-GB"/>
        </w:rPr>
        <w:t xml:space="preserve"> (till 19:00 Moscow time)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</w:p>
    <w:p w:rsidR="0005752F" w:rsidRPr="00394829" w:rsidRDefault="00770778" w:rsidP="00862B3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Registration procedure for participation in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Programme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862B3C" w:rsidRPr="00F54033" w:rsidRDefault="00770778" w:rsidP="00D60D4A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DF42D6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Moscow Exchange 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Derivatives </w:t>
      </w:r>
      <w:r w:rsidR="00554F73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Market’s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Members</w:t>
      </w:r>
      <w:r w:rsidR="009E2661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 are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 entitled to register for participation in </w:t>
      </w:r>
      <w:r w:rsidR="00F54033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the Commodities Futures Development Programme </w:t>
      </w:r>
      <w:r w:rsidR="00A94298" w:rsidRPr="00F54033">
        <w:rPr>
          <w:rFonts w:ascii="Tahoma" w:hAnsi="Tahoma" w:cs="Tahoma"/>
          <w:color w:val="auto"/>
          <w:sz w:val="20"/>
          <w:szCs w:val="20"/>
          <w:lang w:val="en-GB"/>
        </w:rPr>
        <w:t>within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 the period of </w:t>
      </w:r>
      <w:r w:rsidR="00F06167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>Programme</w:t>
      </w:r>
      <w:r w:rsidR="0005752F" w:rsidRPr="00F54033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677215" w:rsidRPr="00394829" w:rsidRDefault="00770778" w:rsidP="00A94298">
      <w:pPr>
        <w:pStyle w:val="txt"/>
        <w:spacing w:before="120" w:beforeAutospacing="0" w:after="0" w:afterAutospacing="0"/>
        <w:ind w:left="1403" w:hanging="705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5.3.2.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ab/>
        <w:t xml:space="preserve">In order to be registered in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the Commodit</w:t>
      </w:r>
      <w:r w:rsidR="00F0616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Programme,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 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should be admitted to trad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in the Commodit</w:t>
      </w:r>
      <w:r w:rsidR="00F0616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Section of the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Moscow Exchange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Derivatives Market.</w:t>
      </w:r>
    </w:p>
    <w:p w:rsidR="0005752F" w:rsidRPr="00394829" w:rsidRDefault="00A94298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In order to be registered, an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application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is required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submits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its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application </w:t>
      </w:r>
      <w:r w:rsidR="00843D96" w:rsidRPr="00394829">
        <w:rPr>
          <w:rFonts w:ascii="Tahoma" w:hAnsi="Tahoma" w:cs="Tahoma"/>
          <w:color w:val="auto"/>
          <w:sz w:val="20"/>
          <w:szCs w:val="20"/>
          <w:lang w:val="en-GB"/>
        </w:rPr>
        <w:t>to the Exchange as a soft copy via the Electronic Document Management System (hereinafter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–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843D96" w:rsidRPr="00394829">
        <w:rPr>
          <w:rFonts w:ascii="Tahoma" w:hAnsi="Tahoma" w:cs="Tahoma"/>
          <w:color w:val="auto"/>
          <w:sz w:val="20"/>
          <w:szCs w:val="20"/>
          <w:lang w:val="en-GB"/>
        </w:rPr>
        <w:t>EDM System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) </w:t>
      </w:r>
      <w:r w:rsidR="00554F73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or </w:t>
      </w:r>
      <w:r w:rsidR="004B29D7" w:rsidRPr="00394829">
        <w:rPr>
          <w:rFonts w:ascii="Tahoma" w:hAnsi="Tahoma" w:cs="Tahoma"/>
          <w:color w:val="auto"/>
          <w:sz w:val="20"/>
          <w:szCs w:val="20"/>
          <w:lang w:val="en-GB"/>
        </w:rPr>
        <w:t>as a</w:t>
      </w:r>
      <w:r w:rsidR="009051A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843D96" w:rsidRPr="00394829">
        <w:rPr>
          <w:rFonts w:ascii="Tahoma" w:hAnsi="Tahoma" w:cs="Tahoma"/>
          <w:color w:val="auto"/>
          <w:sz w:val="20"/>
          <w:szCs w:val="20"/>
          <w:lang w:val="en-GB"/>
        </w:rPr>
        <w:t>hard copy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05752F" w:rsidRPr="00394829" w:rsidRDefault="00843D96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soft copy should be signed by an electronic signature in accordance with the EDM Rules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05752F" w:rsidRPr="00394829" w:rsidRDefault="00843D96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hard copy should be signed by the authorized person of the 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and affixed with the seal (if available) of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such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05752F" w:rsidRPr="00394829" w:rsidRDefault="00843D96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becomes a </w:t>
      </w:r>
      <w:r w:rsidR="004B29D7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from the date it is registered by the Exchange as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in such Programme</w:t>
      </w:r>
      <w:r w:rsidR="004B29D7">
        <w:rPr>
          <w:rFonts w:ascii="Tahoma" w:hAnsi="Tahoma" w:cs="Tahoma"/>
          <w:color w:val="auto"/>
          <w:sz w:val="20"/>
          <w:szCs w:val="20"/>
          <w:lang w:val="en-GB"/>
        </w:rPr>
        <w:t xml:space="preserve"> (hereinafter, the “Programme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4B29D7">
        <w:rPr>
          <w:rFonts w:ascii="Tahoma" w:hAnsi="Tahoma" w:cs="Tahoma"/>
          <w:color w:val="auto"/>
          <w:sz w:val="20"/>
          <w:szCs w:val="20"/>
          <w:lang w:val="en-GB"/>
        </w:rPr>
        <w:t>”)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A27E86" w:rsidRPr="00394829" w:rsidRDefault="00E16248" w:rsidP="00B17727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Terms of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eceiving </w:t>
      </w:r>
      <w:r w:rsidR="004B29D7"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Premium</w:t>
      </w:r>
      <w:r w:rsidR="0038136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381368" w:rsidRPr="00394829" w:rsidRDefault="004B29D7" w:rsidP="00B1772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receives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remium if the volume of trades made by the Programme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own behalf or at own expense and/or at the expense of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>its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Clients during the calendar month for which the Premium is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calculated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(hereinafter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“R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eriod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is equal to or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is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above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381368" w:rsidRDefault="00F724ED" w:rsidP="00924914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1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>00 000 (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a hundred thousand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) </w:t>
      </w:r>
      <w:r w:rsidR="00686B58" w:rsidRPr="00394829">
        <w:rPr>
          <w:rFonts w:ascii="Tahoma" w:hAnsi="Tahoma" w:cs="Tahoma"/>
          <w:color w:val="auto"/>
          <w:sz w:val="20"/>
          <w:szCs w:val="20"/>
          <w:lang w:val="en-GB"/>
        </w:rPr>
        <w:t>BRENT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Futures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and (or)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G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old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(total volume</w:t>
      </w:r>
      <w:r w:rsidR="00686B58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–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for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Premium under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>the Commodit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Programme</w:t>
      </w:r>
      <w:r w:rsidR="00381368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072701" w:rsidRPr="00394829" w:rsidRDefault="00072701" w:rsidP="00072701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</w:p>
    <w:p w:rsidR="003034ED" w:rsidRPr="00394829" w:rsidRDefault="00F16F71" w:rsidP="0092491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Premium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Calculation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procedure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7440E8" w:rsidRPr="00394829" w:rsidRDefault="00E16248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Premium is </w:t>
      </w:r>
      <w:r w:rsidR="00F16F7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calculated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according to the formula</w:t>
      </w:r>
      <w:r w:rsidR="000968AF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A9534A" w:rsidRPr="000B7A63" w:rsidRDefault="00A9534A" w:rsidP="00924914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2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2"/>
              <w:szCs w:val="20"/>
              <w:lang w:val="en-GB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2"/>
                  <w:szCs w:val="20"/>
                  <w:lang w:val="en-GB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2"/>
                      <w:szCs w:val="20"/>
                      <w:lang w:val="en-GB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2"/>
                          <w:szCs w:val="20"/>
                          <w:lang w:val="en-GB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2"/>
                          <w:szCs w:val="20"/>
                          <w:lang w:val="en-GB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2"/>
                      <w:szCs w:val="20"/>
                      <w:lang w:val="en-GB"/>
                    </w:rPr>
                    <m:t>×k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2"/>
                  <w:szCs w:val="20"/>
                  <w:lang w:val="en-GB"/>
                </w:rPr>
                <m:t>;2</m:t>
              </m:r>
            </m:e>
          </m:d>
        </m:oMath>
      </m:oMathPara>
    </w:p>
    <w:p w:rsidR="00B43F23" w:rsidRDefault="00B43F23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</w:p>
    <w:p w:rsidR="00B43F23" w:rsidRDefault="00B43F23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</w:p>
    <w:p w:rsidR="00B43F23" w:rsidRDefault="00B43F23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</w:p>
    <w:p w:rsidR="0012399D" w:rsidRPr="000B7A63" w:rsidRDefault="009051A9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  <w:bookmarkStart w:id="0" w:name="_GoBack"/>
      <w:bookmarkEnd w:id="0"/>
      <w:r w:rsidRPr="000B7A63">
        <w:rPr>
          <w:rFonts w:ascii="Tahoma" w:hAnsi="Tahoma" w:cs="Tahoma"/>
          <w:color w:val="auto"/>
          <w:sz w:val="22"/>
          <w:szCs w:val="20"/>
          <w:lang w:val="en-GB"/>
        </w:rPr>
        <w:lastRenderedPageBreak/>
        <w:t>where</w:t>
      </w:r>
      <w:r w:rsidR="0012399D" w:rsidRPr="000B7A63">
        <w:rPr>
          <w:rFonts w:ascii="Tahoma" w:hAnsi="Tahoma" w:cs="Tahoma"/>
          <w:color w:val="auto"/>
          <w:sz w:val="22"/>
          <w:szCs w:val="20"/>
          <w:lang w:val="en-GB"/>
        </w:rPr>
        <w:t xml:space="preserve">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A9534A" w:rsidRPr="00B43F23" w:rsidTr="00506FB5">
        <w:tc>
          <w:tcPr>
            <w:tcW w:w="1129" w:type="dxa"/>
          </w:tcPr>
          <w:p w:rsidR="00A9534A" w:rsidRPr="000B7A6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:rsidR="00A9534A" w:rsidRPr="00394829" w:rsidRDefault="009051A9" w:rsidP="00F16F7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ate of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Premium monthly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or a Programme </w:t>
            </w:r>
            <w:r w:rsidR="003B5EA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Member</w:t>
            </w:r>
          </w:p>
        </w:tc>
      </w:tr>
      <w:tr w:rsidR="00A9534A" w:rsidRPr="00B43F23" w:rsidTr="00506FB5">
        <w:tc>
          <w:tcPr>
            <w:tcW w:w="1129" w:type="dxa"/>
          </w:tcPr>
          <w:p w:rsidR="00A9534A" w:rsidRPr="000B7A63" w:rsidRDefault="00B43F23" w:rsidP="0092491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2"/>
                        <w:szCs w:val="20"/>
                        <w:lang w:val="en-GB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2"/>
                        <w:szCs w:val="20"/>
                        <w:lang w:val="en-GB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:rsidR="00A9534A" w:rsidRPr="00394829" w:rsidRDefault="009051A9" w:rsidP="00C22E34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otal size of the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xchange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paid during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calendar months for which the Premium is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trades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made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by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rogramme </w:t>
            </w:r>
            <w:r w:rsidR="003B5EA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Member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either on own behalf or at own expense and/or at the expense of its Clients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  <w:p w:rsidR="00A9534A" w:rsidRPr="00394829" w:rsidRDefault="00AC79B5" w:rsidP="00394829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with 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BRENT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and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(or)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G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old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(for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Commodit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ies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 Development Programme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’s </w:t>
            </w:r>
            <w:r w:rsidR="003B5EA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Members</w:t>
            </w:r>
            <w:r w:rsidR="00E11B5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</w:p>
        </w:tc>
      </w:tr>
      <w:tr w:rsidR="00A9534A" w:rsidRPr="00B43F23" w:rsidTr="00506FB5">
        <w:tc>
          <w:tcPr>
            <w:tcW w:w="1129" w:type="dxa"/>
          </w:tcPr>
          <w:p w:rsidR="00A9534A" w:rsidRPr="000B7A6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Round</m:t>
                </m:r>
              </m:oMath>
            </m:oMathPara>
          </w:p>
        </w:tc>
        <w:tc>
          <w:tcPr>
            <w:tcW w:w="7513" w:type="dxa"/>
          </w:tcPr>
          <w:p w:rsidR="00A9534A" w:rsidRPr="00394829" w:rsidRDefault="00F16F71" w:rsidP="0032755F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mathematical rounding to the specified precision</w:t>
            </w:r>
          </w:p>
        </w:tc>
      </w:tr>
      <w:tr w:rsidR="00A9534A" w:rsidRPr="000B7A63" w:rsidTr="00506FB5">
        <w:tc>
          <w:tcPr>
            <w:tcW w:w="1129" w:type="dxa"/>
          </w:tcPr>
          <w:p w:rsidR="00A9534A" w:rsidRPr="000B7A6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k</m:t>
                </m:r>
              </m:oMath>
            </m:oMathPara>
          </w:p>
        </w:tc>
        <w:tc>
          <w:tcPr>
            <w:tcW w:w="7513" w:type="dxa"/>
          </w:tcPr>
          <w:p w:rsidR="00A9534A" w:rsidRPr="00394829" w:rsidRDefault="00F16F71" w:rsidP="00F16F7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coefficient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0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.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25.</w:t>
            </w:r>
          </w:p>
        </w:tc>
      </w:tr>
    </w:tbl>
    <w:p w:rsidR="003034ED" w:rsidRPr="00394829" w:rsidRDefault="006F2095" w:rsidP="003F376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EF16A3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Premium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</w:t>
      </w:r>
      <w:r w:rsidR="00AC79B5" w:rsidRPr="00394829">
        <w:rPr>
          <w:rFonts w:ascii="Tahoma" w:hAnsi="Tahoma" w:cs="Tahoma"/>
          <w:color w:val="auto"/>
          <w:sz w:val="20"/>
          <w:szCs w:val="20"/>
          <w:lang w:val="en-GB"/>
        </w:rPr>
        <w:t>ransfer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procedures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3F3765" w:rsidRPr="00394829" w:rsidRDefault="009D35E5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Exchange monthly transfers the Premium on the basis of a Report signed by the Exchange and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after the consecutive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eriod is over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3E6D55" w:rsidRPr="00394829" w:rsidRDefault="009D35E5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Report is prepared by the Exchange for both Programmes and contains information about</w:t>
      </w:r>
      <w:r w:rsidR="003E6D55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3D2937" w:rsidRPr="00394829" w:rsidRDefault="009D35E5" w:rsidP="00455BD0">
      <w:pPr>
        <w:pStyle w:val="txt"/>
        <w:numPr>
          <w:ilvl w:val="0"/>
          <w:numId w:val="6"/>
        </w:numPr>
        <w:spacing w:before="120" w:beforeAutospacing="0" w:after="0" w:afterAutospacing="0"/>
        <w:ind w:left="1843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size of trades made by the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own behalf and at own expense and/or the expense of its Clients during the reporting period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  <w:r w:rsidR="003D293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</w:p>
    <w:p w:rsidR="003034ED" w:rsidRPr="00394829" w:rsidRDefault="009D35E5" w:rsidP="00455BD0">
      <w:pPr>
        <w:pStyle w:val="txt"/>
        <w:numPr>
          <w:ilvl w:val="0"/>
          <w:numId w:val="8"/>
        </w:numPr>
        <w:spacing w:before="0" w:beforeAutospacing="0" w:after="0" w:afterAutospacing="0"/>
        <w:ind w:left="2268" w:hanging="357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with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BRENT 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utures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;</w:t>
      </w:r>
    </w:p>
    <w:p w:rsidR="003034ED" w:rsidRPr="00394829" w:rsidRDefault="009D35E5" w:rsidP="00455BD0">
      <w:pPr>
        <w:pStyle w:val="txt"/>
        <w:numPr>
          <w:ilvl w:val="0"/>
          <w:numId w:val="8"/>
        </w:numPr>
        <w:spacing w:before="0" w:beforeAutospacing="0" w:after="0" w:afterAutospacing="0"/>
        <w:ind w:left="2268" w:hanging="357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with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Gold 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utures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263D5C" w:rsidRPr="00394829" w:rsidRDefault="009D35E5" w:rsidP="00455BD0">
      <w:pPr>
        <w:pStyle w:val="txt"/>
        <w:numPr>
          <w:ilvl w:val="0"/>
          <w:numId w:val="6"/>
        </w:numPr>
        <w:spacing w:before="120" w:beforeAutospacing="0" w:after="0" w:afterAutospacing="0"/>
        <w:ind w:left="1843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total size 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о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 Exchange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ee paid by a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trades specified in the second </w:t>
      </w:r>
      <w:r w:rsidR="00BD20F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subparagraph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of this para</w:t>
      </w:r>
      <w:r w:rsidR="00BD20F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graph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E11B5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; </w:t>
      </w:r>
    </w:p>
    <w:p w:rsidR="003E6D55" w:rsidRPr="00394829" w:rsidRDefault="00BD20F6" w:rsidP="00455BD0">
      <w:pPr>
        <w:pStyle w:val="txt"/>
        <w:numPr>
          <w:ilvl w:val="0"/>
          <w:numId w:val="6"/>
        </w:numPr>
        <w:spacing w:before="120" w:beforeAutospacing="0" w:after="0" w:afterAutospacing="0"/>
        <w:ind w:left="1843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size of the Premium in each Programme</w:t>
      </w:r>
      <w:r w:rsidR="00E11B5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,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payable to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for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eriod</w:t>
      </w:r>
      <w:r w:rsidR="003E6D5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  </w:t>
      </w:r>
    </w:p>
    <w:p w:rsidR="003F3765" w:rsidRPr="00394829" w:rsidRDefault="00BD20F6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Exchange shall send the Report to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within 10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(ten)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business days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since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end date of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eriod</w:t>
      </w:r>
      <w:r w:rsidR="00C63C83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must return the signed Report to the Exchange within 5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(five)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business days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since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its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receipt date</w:t>
      </w:r>
      <w:r w:rsidR="00C63C83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2957FA" w:rsidRPr="00394829" w:rsidRDefault="00BD20F6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Should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fail to return the signed Report within the dates specified by subpara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5.</w:t>
      </w:r>
      <w:r w:rsidR="00072701">
        <w:rPr>
          <w:rFonts w:ascii="Tahoma" w:hAnsi="Tahoma" w:cs="Tahoma"/>
          <w:color w:val="auto"/>
          <w:sz w:val="20"/>
          <w:szCs w:val="20"/>
          <w:lang w:val="en-GB"/>
        </w:rPr>
        <w:t>5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>.3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,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such Report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shall be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regarded as agreed and signed by the 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, without any claims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accepted by the Exchange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there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for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3F3765" w:rsidRPr="00394829" w:rsidRDefault="00BD20F6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Exchange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shall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pay the Premium in RUB within 10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(ten)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business days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since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date when the Exchange receives the Report signed by the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since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the date when the period for the Trading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to return the signed Report </w:t>
      </w:r>
      <w:r w:rsidR="009051A9" w:rsidRPr="00394829">
        <w:rPr>
          <w:rFonts w:ascii="Tahoma" w:hAnsi="Tahoma" w:cs="Tahoma"/>
          <w:color w:val="auto"/>
          <w:sz w:val="20"/>
          <w:szCs w:val="20"/>
          <w:lang w:val="en-GB"/>
        </w:rPr>
        <w:t>is over pursuant to the subpara</w:t>
      </w:r>
      <w:r w:rsidR="00855F9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5.6.3</w:t>
      </w:r>
      <w:r w:rsidR="00B81CA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855F96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C63C83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551694" w:rsidRPr="00394829" w:rsidRDefault="00B81CA1" w:rsidP="008F12A8">
      <w:pPr>
        <w:pStyle w:val="txt"/>
        <w:numPr>
          <w:ilvl w:val="1"/>
          <w:numId w:val="24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shall be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entitled to refuse to participate in either one or both programmes during the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Programme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period by sending the Exchange an application in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soft copy via the EDM System or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as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hard copy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  <w:r w:rsidR="00773C5D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, who sent the said application,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shall be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excluded from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the 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A11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since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date of application receipt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805DCD" w:rsidRPr="00394829" w:rsidRDefault="00B81CA1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="007A1164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may be excluded from the </w:t>
      </w:r>
      <w:r w:rsidR="007A1164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3B5EAB">
        <w:rPr>
          <w:rFonts w:ascii="Tahoma" w:hAnsi="Tahoma" w:cs="Tahoma"/>
          <w:color w:val="auto"/>
          <w:sz w:val="20"/>
          <w:szCs w:val="20"/>
          <w:lang w:val="en-GB"/>
        </w:rPr>
        <w:t>Members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should the Exchange resolve to restrict/suspend/stop its admission to trading in the Moscow Exchange Derivatives Market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551694" w:rsidRPr="00394829" w:rsidRDefault="00115290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</w:t>
      </w:r>
      <w:r w:rsidR="00B81CA1" w:rsidRPr="00394829">
        <w:rPr>
          <w:rFonts w:ascii="Tahoma" w:hAnsi="Tahoma" w:cs="Tahoma"/>
          <w:color w:val="auto"/>
          <w:sz w:val="20"/>
          <w:szCs w:val="20"/>
          <w:lang w:val="en-GB"/>
        </w:rPr>
        <w:t>he Exchange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shall be</w:t>
      </w:r>
      <w:r w:rsidR="00B81CA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entitled to amend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Programmes’ parameters upon the outcome of monitoring the Programmes’ interim results upon agreement by the Moscow Exchange’s Derivatives Market Committee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365E24" w:rsidRPr="000B7A63" w:rsidRDefault="00365E24" w:rsidP="00C63C83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</w:p>
    <w:sectPr w:rsidR="00365E24" w:rsidRPr="000B7A6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89" w:rsidRDefault="00A85089" w:rsidP="002D200D">
      <w:r>
        <w:separator/>
      </w:r>
    </w:p>
  </w:endnote>
  <w:endnote w:type="continuationSeparator" w:id="0">
    <w:p w:rsidR="00A85089" w:rsidRDefault="00A85089" w:rsidP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2F35FF" w:rsidRPr="003730F5" w:rsidRDefault="002F35FF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3730F5">
          <w:rPr>
            <w:rFonts w:ascii="Tahoma" w:hAnsi="Tahoma" w:cs="Tahoma"/>
            <w:sz w:val="20"/>
            <w:szCs w:val="20"/>
          </w:rPr>
          <w:fldChar w:fldCharType="begin"/>
        </w:r>
        <w:r w:rsidRPr="003730F5">
          <w:rPr>
            <w:rFonts w:ascii="Tahoma" w:hAnsi="Tahoma" w:cs="Tahoma"/>
            <w:sz w:val="20"/>
            <w:szCs w:val="20"/>
          </w:rPr>
          <w:instrText>PAGE   \* MERGEFORMAT</w:instrText>
        </w:r>
        <w:r w:rsidRPr="003730F5">
          <w:rPr>
            <w:rFonts w:ascii="Tahoma" w:hAnsi="Tahoma" w:cs="Tahoma"/>
            <w:sz w:val="20"/>
            <w:szCs w:val="20"/>
          </w:rPr>
          <w:fldChar w:fldCharType="separate"/>
        </w:r>
        <w:r w:rsidR="00B43F23">
          <w:rPr>
            <w:rFonts w:ascii="Tahoma" w:hAnsi="Tahoma" w:cs="Tahoma"/>
            <w:noProof/>
            <w:sz w:val="20"/>
            <w:szCs w:val="20"/>
          </w:rPr>
          <w:t>7</w:t>
        </w:r>
        <w:r w:rsidRPr="003730F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2F35FF" w:rsidRDefault="002F35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89" w:rsidRDefault="00A85089" w:rsidP="002D200D">
      <w:r>
        <w:separator/>
      </w:r>
    </w:p>
  </w:footnote>
  <w:footnote w:type="continuationSeparator" w:id="0">
    <w:p w:rsidR="00A85089" w:rsidRDefault="00A85089" w:rsidP="002D200D">
      <w:r>
        <w:continuationSeparator/>
      </w:r>
    </w:p>
  </w:footnote>
  <w:footnote w:id="1">
    <w:p w:rsidR="00B9172A" w:rsidRPr="00CC3304" w:rsidRDefault="00B9172A">
      <w:pPr>
        <w:pStyle w:val="af"/>
        <w:rPr>
          <w:rFonts w:ascii="Tahoma" w:hAnsi="Tahoma" w:cs="Tahoma"/>
          <w:lang w:val="en-US"/>
        </w:rPr>
      </w:pPr>
      <w:r w:rsidRPr="00CC3304">
        <w:rPr>
          <w:rStyle w:val="af1"/>
          <w:rFonts w:ascii="Tahoma" w:hAnsi="Tahoma" w:cs="Tahoma"/>
        </w:rPr>
        <w:footnoteRef/>
      </w:r>
      <w:r w:rsidRPr="00CC3304">
        <w:rPr>
          <w:rFonts w:ascii="Tahoma" w:hAnsi="Tahoma" w:cs="Tahoma"/>
          <w:lang w:val="en-US"/>
        </w:rPr>
        <w:t xml:space="preserve"> For calculation purposes, is considered from the date of clearing fee implementation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FF" w:rsidRDefault="002F35FF" w:rsidP="00380EC8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  <w:lang w:val="en-GB"/>
      </w:rPr>
    </w:pPr>
    <w:r>
      <w:rPr>
        <w:rFonts w:ascii="Tahoma" w:hAnsi="Tahoma" w:cs="Tahoma"/>
        <w:b/>
        <w:sz w:val="22"/>
        <w:szCs w:val="20"/>
        <w:lang w:val="en-GB"/>
      </w:rPr>
      <w:t>The</w:t>
    </w:r>
    <w:r w:rsidRPr="00634649">
      <w:rPr>
        <w:rFonts w:ascii="Tahoma" w:hAnsi="Tahoma" w:cs="Tahoma"/>
        <w:b/>
        <w:sz w:val="22"/>
        <w:szCs w:val="20"/>
        <w:lang w:val="en-GB"/>
      </w:rPr>
      <w:t xml:space="preserve"> Moscow Exchange Derivatives </w:t>
    </w:r>
    <w:r w:rsidRPr="006F1D3C">
      <w:rPr>
        <w:rFonts w:ascii="Tahoma" w:hAnsi="Tahoma" w:cs="Tahoma"/>
        <w:b/>
        <w:sz w:val="22"/>
        <w:szCs w:val="22"/>
        <w:lang w:val="en-GB"/>
      </w:rPr>
      <w:t>Market</w:t>
    </w:r>
    <w:r w:rsidRPr="00394829">
      <w:rPr>
        <w:rFonts w:ascii="Tahoma" w:hAnsi="Tahoma" w:cs="Tahoma"/>
        <w:b/>
        <w:sz w:val="22"/>
        <w:szCs w:val="22"/>
        <w:lang w:val="en-GB"/>
      </w:rPr>
      <w:t xml:space="preserve"> Fee</w:t>
    </w:r>
    <w:r w:rsidR="008A5C45">
      <w:rPr>
        <w:rFonts w:ascii="Tahoma" w:hAnsi="Tahoma" w:cs="Tahoma"/>
        <w:b/>
        <w:sz w:val="22"/>
        <w:szCs w:val="22"/>
        <w:lang w:val="en-GB"/>
      </w:rPr>
      <w:t xml:space="preserve"> Schedule</w:t>
    </w:r>
  </w:p>
  <w:p w:rsidR="002F35FF" w:rsidRPr="000748E2" w:rsidRDefault="002F35FF" w:rsidP="00394829">
    <w:pPr>
      <w:tabs>
        <w:tab w:val="left" w:pos="3240"/>
        <w:tab w:val="left" w:pos="5443"/>
        <w:tab w:val="left" w:pos="5580"/>
        <w:tab w:val="left" w:pos="765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5165205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F9415D"/>
    <w:multiLevelType w:val="hybridMultilevel"/>
    <w:tmpl w:val="B9A47D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75D6"/>
    <w:multiLevelType w:val="multilevel"/>
    <w:tmpl w:val="B4DE54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35D32"/>
    <w:multiLevelType w:val="hybridMultilevel"/>
    <w:tmpl w:val="0596C29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04"/>
    <w:multiLevelType w:val="hybridMultilevel"/>
    <w:tmpl w:val="442228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00C4"/>
    <w:multiLevelType w:val="hybridMultilevel"/>
    <w:tmpl w:val="18306D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17564"/>
    <w:multiLevelType w:val="hybridMultilevel"/>
    <w:tmpl w:val="9C5610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71806"/>
    <w:multiLevelType w:val="hybridMultilevel"/>
    <w:tmpl w:val="9F1EDEF0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471"/>
    <w:multiLevelType w:val="hybridMultilevel"/>
    <w:tmpl w:val="9354AA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90C6A"/>
    <w:multiLevelType w:val="hybridMultilevel"/>
    <w:tmpl w:val="BBF4FF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1B3B537E"/>
    <w:multiLevelType w:val="multilevel"/>
    <w:tmpl w:val="AEEC12D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D47EBE"/>
    <w:multiLevelType w:val="hybridMultilevel"/>
    <w:tmpl w:val="42EE2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DE92B3A"/>
    <w:multiLevelType w:val="hybridMultilevel"/>
    <w:tmpl w:val="12DE53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1A74FE"/>
    <w:multiLevelType w:val="hybridMultilevel"/>
    <w:tmpl w:val="E72047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95CA6"/>
    <w:multiLevelType w:val="hybridMultilevel"/>
    <w:tmpl w:val="45F8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6211D"/>
    <w:multiLevelType w:val="hybridMultilevel"/>
    <w:tmpl w:val="0248D72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125CA"/>
    <w:multiLevelType w:val="hybridMultilevel"/>
    <w:tmpl w:val="D93A11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01D9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B1A70"/>
    <w:multiLevelType w:val="multilevel"/>
    <w:tmpl w:val="FF8AE6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D7E77D4"/>
    <w:multiLevelType w:val="hybridMultilevel"/>
    <w:tmpl w:val="89A29DA4"/>
    <w:lvl w:ilvl="0" w:tplc="5C7420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26828"/>
    <w:multiLevelType w:val="hybridMultilevel"/>
    <w:tmpl w:val="C10C7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C750F9"/>
    <w:multiLevelType w:val="hybridMultilevel"/>
    <w:tmpl w:val="3CDAC9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30CA3"/>
    <w:multiLevelType w:val="hybridMultilevel"/>
    <w:tmpl w:val="FF10916A"/>
    <w:lvl w:ilvl="0" w:tplc="E1087E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286667"/>
    <w:multiLevelType w:val="hybridMultilevel"/>
    <w:tmpl w:val="74C651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A7EA8"/>
    <w:multiLevelType w:val="hybridMultilevel"/>
    <w:tmpl w:val="7EDC429A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E185E"/>
    <w:multiLevelType w:val="hybridMultilevel"/>
    <w:tmpl w:val="0E2E69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65429F"/>
    <w:multiLevelType w:val="hybridMultilevel"/>
    <w:tmpl w:val="41C6D6A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CAE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F42A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EC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F47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F4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EEF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A9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C23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6" w15:restartNumberingAfterBreak="0">
    <w:nsid w:val="52D869A9"/>
    <w:multiLevelType w:val="hybridMultilevel"/>
    <w:tmpl w:val="772427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B049B"/>
    <w:multiLevelType w:val="hybridMultilevel"/>
    <w:tmpl w:val="9E7C72A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55600545"/>
    <w:multiLevelType w:val="multilevel"/>
    <w:tmpl w:val="9806C4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2388D"/>
    <w:multiLevelType w:val="hybridMultilevel"/>
    <w:tmpl w:val="7542D3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E437E8"/>
    <w:multiLevelType w:val="hybridMultilevel"/>
    <w:tmpl w:val="FD880B5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8100E"/>
    <w:multiLevelType w:val="hybridMultilevel"/>
    <w:tmpl w:val="59F0B9AA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A7412"/>
    <w:multiLevelType w:val="hybridMultilevel"/>
    <w:tmpl w:val="6AD038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21EA6"/>
    <w:multiLevelType w:val="hybridMultilevel"/>
    <w:tmpl w:val="06928C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5E0C8C"/>
    <w:multiLevelType w:val="hybridMultilevel"/>
    <w:tmpl w:val="E182E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F755B"/>
    <w:multiLevelType w:val="hybridMultilevel"/>
    <w:tmpl w:val="D4B24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53D117D"/>
    <w:multiLevelType w:val="hybridMultilevel"/>
    <w:tmpl w:val="3A4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3A77CB"/>
    <w:multiLevelType w:val="hybridMultilevel"/>
    <w:tmpl w:val="D120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4F6FFB"/>
    <w:multiLevelType w:val="multilevel"/>
    <w:tmpl w:val="321E2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2" w15:restartNumberingAfterBreak="0">
    <w:nsid w:val="768927E0"/>
    <w:multiLevelType w:val="hybridMultilevel"/>
    <w:tmpl w:val="E0CC7408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6F291F"/>
    <w:multiLevelType w:val="hybridMultilevel"/>
    <w:tmpl w:val="85C8B188"/>
    <w:lvl w:ilvl="0" w:tplc="C92AFB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4" w15:restartNumberingAfterBreak="0">
    <w:nsid w:val="7C145658"/>
    <w:multiLevelType w:val="hybridMultilevel"/>
    <w:tmpl w:val="799CEF32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49"/>
  </w:num>
  <w:num w:numId="4">
    <w:abstractNumId w:val="27"/>
  </w:num>
  <w:num w:numId="5">
    <w:abstractNumId w:val="14"/>
  </w:num>
  <w:num w:numId="6">
    <w:abstractNumId w:val="48"/>
  </w:num>
  <w:num w:numId="7">
    <w:abstractNumId w:val="55"/>
  </w:num>
  <w:num w:numId="8">
    <w:abstractNumId w:val="23"/>
  </w:num>
  <w:num w:numId="9">
    <w:abstractNumId w:val="13"/>
  </w:num>
  <w:num w:numId="10">
    <w:abstractNumId w:val="54"/>
  </w:num>
  <w:num w:numId="11">
    <w:abstractNumId w:val="2"/>
  </w:num>
  <w:num w:numId="12">
    <w:abstractNumId w:val="8"/>
  </w:num>
  <w:num w:numId="13">
    <w:abstractNumId w:val="3"/>
  </w:num>
  <w:num w:numId="14">
    <w:abstractNumId w:val="17"/>
  </w:num>
  <w:num w:numId="15">
    <w:abstractNumId w:val="31"/>
  </w:num>
  <w:num w:numId="16">
    <w:abstractNumId w:val="44"/>
  </w:num>
  <w:num w:numId="17">
    <w:abstractNumId w:val="19"/>
  </w:num>
  <w:num w:numId="18">
    <w:abstractNumId w:val="1"/>
  </w:num>
  <w:num w:numId="19">
    <w:abstractNumId w:val="6"/>
  </w:num>
  <w:num w:numId="20">
    <w:abstractNumId w:val="10"/>
  </w:num>
  <w:num w:numId="21">
    <w:abstractNumId w:val="40"/>
  </w:num>
  <w:num w:numId="22">
    <w:abstractNumId w:val="9"/>
  </w:num>
  <w:num w:numId="23">
    <w:abstractNumId w:val="21"/>
  </w:num>
  <w:num w:numId="24">
    <w:abstractNumId w:val="26"/>
  </w:num>
  <w:num w:numId="25">
    <w:abstractNumId w:val="4"/>
  </w:num>
  <w:num w:numId="26">
    <w:abstractNumId w:val="46"/>
  </w:num>
  <w:num w:numId="27">
    <w:abstractNumId w:val="43"/>
  </w:num>
  <w:num w:numId="28">
    <w:abstractNumId w:val="47"/>
  </w:num>
  <w:num w:numId="29">
    <w:abstractNumId w:val="30"/>
  </w:num>
  <w:num w:numId="30">
    <w:abstractNumId w:val="15"/>
  </w:num>
  <w:num w:numId="31">
    <w:abstractNumId w:val="32"/>
  </w:num>
  <w:num w:numId="32">
    <w:abstractNumId w:val="36"/>
  </w:num>
  <w:num w:numId="33">
    <w:abstractNumId w:val="18"/>
  </w:num>
  <w:num w:numId="34">
    <w:abstractNumId w:val="42"/>
  </w:num>
  <w:num w:numId="35">
    <w:abstractNumId w:val="41"/>
  </w:num>
  <w:num w:numId="36">
    <w:abstractNumId w:val="33"/>
  </w:num>
  <w:num w:numId="37">
    <w:abstractNumId w:val="53"/>
  </w:num>
  <w:num w:numId="38">
    <w:abstractNumId w:val="38"/>
  </w:num>
  <w:num w:numId="39">
    <w:abstractNumId w:val="52"/>
  </w:num>
  <w:num w:numId="40">
    <w:abstractNumId w:val="39"/>
  </w:num>
  <w:num w:numId="41">
    <w:abstractNumId w:val="35"/>
  </w:num>
  <w:num w:numId="42">
    <w:abstractNumId w:val="16"/>
  </w:num>
  <w:num w:numId="43">
    <w:abstractNumId w:val="0"/>
  </w:num>
  <w:num w:numId="44">
    <w:abstractNumId w:val="45"/>
  </w:num>
  <w:num w:numId="45">
    <w:abstractNumId w:val="51"/>
  </w:num>
  <w:num w:numId="46">
    <w:abstractNumId w:val="24"/>
  </w:num>
  <w:num w:numId="47">
    <w:abstractNumId w:val="7"/>
  </w:num>
  <w:num w:numId="48">
    <w:abstractNumId w:val="29"/>
  </w:num>
  <w:num w:numId="49">
    <w:abstractNumId w:val="25"/>
  </w:num>
  <w:num w:numId="50">
    <w:abstractNumId w:val="34"/>
  </w:num>
  <w:num w:numId="51">
    <w:abstractNumId w:val="20"/>
  </w:num>
  <w:num w:numId="52">
    <w:abstractNumId w:val="28"/>
  </w:num>
  <w:num w:numId="53">
    <w:abstractNumId w:val="11"/>
  </w:num>
  <w:num w:numId="54">
    <w:abstractNumId w:val="22"/>
  </w:num>
  <w:num w:numId="55">
    <w:abstractNumId w:val="12"/>
  </w:num>
  <w:num w:numId="56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0D"/>
    <w:rsid w:val="00003949"/>
    <w:rsid w:val="00005F8E"/>
    <w:rsid w:val="000152C1"/>
    <w:rsid w:val="00022B9E"/>
    <w:rsid w:val="0002363F"/>
    <w:rsid w:val="000251E1"/>
    <w:rsid w:val="000259EE"/>
    <w:rsid w:val="00025FAC"/>
    <w:rsid w:val="00037C8A"/>
    <w:rsid w:val="0005141C"/>
    <w:rsid w:val="00054DAB"/>
    <w:rsid w:val="00054EBF"/>
    <w:rsid w:val="0005752F"/>
    <w:rsid w:val="00057B62"/>
    <w:rsid w:val="00060404"/>
    <w:rsid w:val="0006178F"/>
    <w:rsid w:val="00064E96"/>
    <w:rsid w:val="00065519"/>
    <w:rsid w:val="000662D1"/>
    <w:rsid w:val="00067983"/>
    <w:rsid w:val="0007078A"/>
    <w:rsid w:val="00072701"/>
    <w:rsid w:val="00072CE5"/>
    <w:rsid w:val="000741B6"/>
    <w:rsid w:val="000744B3"/>
    <w:rsid w:val="000748E2"/>
    <w:rsid w:val="000811C7"/>
    <w:rsid w:val="000822C4"/>
    <w:rsid w:val="00084E9F"/>
    <w:rsid w:val="0008768E"/>
    <w:rsid w:val="00087CE1"/>
    <w:rsid w:val="000901C5"/>
    <w:rsid w:val="00094364"/>
    <w:rsid w:val="000951CA"/>
    <w:rsid w:val="000968AF"/>
    <w:rsid w:val="000968B4"/>
    <w:rsid w:val="00096ED3"/>
    <w:rsid w:val="000A01EB"/>
    <w:rsid w:val="000B3CC7"/>
    <w:rsid w:val="000B7A63"/>
    <w:rsid w:val="000C3E84"/>
    <w:rsid w:val="000C4590"/>
    <w:rsid w:val="000C5A18"/>
    <w:rsid w:val="000C5C2B"/>
    <w:rsid w:val="000D0E9F"/>
    <w:rsid w:val="000D3207"/>
    <w:rsid w:val="000D5D68"/>
    <w:rsid w:val="000E1629"/>
    <w:rsid w:val="000E4813"/>
    <w:rsid w:val="000F0D1B"/>
    <w:rsid w:val="000F0D7A"/>
    <w:rsid w:val="000F106C"/>
    <w:rsid w:val="000F39EE"/>
    <w:rsid w:val="000F6E83"/>
    <w:rsid w:val="00105430"/>
    <w:rsid w:val="001068C7"/>
    <w:rsid w:val="00106A6F"/>
    <w:rsid w:val="00111D41"/>
    <w:rsid w:val="001121AE"/>
    <w:rsid w:val="001128EB"/>
    <w:rsid w:val="00114816"/>
    <w:rsid w:val="00115290"/>
    <w:rsid w:val="00116A4A"/>
    <w:rsid w:val="00121A16"/>
    <w:rsid w:val="0012399D"/>
    <w:rsid w:val="00124C1A"/>
    <w:rsid w:val="00124C51"/>
    <w:rsid w:val="00130614"/>
    <w:rsid w:val="00130B7E"/>
    <w:rsid w:val="001327E0"/>
    <w:rsid w:val="00133944"/>
    <w:rsid w:val="001355DC"/>
    <w:rsid w:val="001404DB"/>
    <w:rsid w:val="00140D67"/>
    <w:rsid w:val="00144008"/>
    <w:rsid w:val="0014465D"/>
    <w:rsid w:val="001464B4"/>
    <w:rsid w:val="001522EF"/>
    <w:rsid w:val="00152635"/>
    <w:rsid w:val="0015464D"/>
    <w:rsid w:val="00154CC8"/>
    <w:rsid w:val="001574F5"/>
    <w:rsid w:val="00162101"/>
    <w:rsid w:val="00171088"/>
    <w:rsid w:val="001725DC"/>
    <w:rsid w:val="00172FA7"/>
    <w:rsid w:val="00177E86"/>
    <w:rsid w:val="00185803"/>
    <w:rsid w:val="001866A8"/>
    <w:rsid w:val="0019069F"/>
    <w:rsid w:val="00193C96"/>
    <w:rsid w:val="0019673C"/>
    <w:rsid w:val="001A0F07"/>
    <w:rsid w:val="001A5755"/>
    <w:rsid w:val="001B3846"/>
    <w:rsid w:val="001B574A"/>
    <w:rsid w:val="001B7862"/>
    <w:rsid w:val="001C3024"/>
    <w:rsid w:val="001C3F79"/>
    <w:rsid w:val="001C476A"/>
    <w:rsid w:val="001C6912"/>
    <w:rsid w:val="001C7AE1"/>
    <w:rsid w:val="001D0934"/>
    <w:rsid w:val="001D4BDD"/>
    <w:rsid w:val="001D7937"/>
    <w:rsid w:val="001D7F44"/>
    <w:rsid w:val="001E2CC2"/>
    <w:rsid w:val="001E559E"/>
    <w:rsid w:val="001E75FD"/>
    <w:rsid w:val="001E7A63"/>
    <w:rsid w:val="001F01D1"/>
    <w:rsid w:val="001F4E69"/>
    <w:rsid w:val="00203A07"/>
    <w:rsid w:val="00205519"/>
    <w:rsid w:val="00213F4E"/>
    <w:rsid w:val="00214F83"/>
    <w:rsid w:val="002163A0"/>
    <w:rsid w:val="00217E69"/>
    <w:rsid w:val="00224EA7"/>
    <w:rsid w:val="00232949"/>
    <w:rsid w:val="002344C3"/>
    <w:rsid w:val="0023682C"/>
    <w:rsid w:val="00237402"/>
    <w:rsid w:val="002407E1"/>
    <w:rsid w:val="002408C8"/>
    <w:rsid w:val="00241E3C"/>
    <w:rsid w:val="002421B2"/>
    <w:rsid w:val="00242794"/>
    <w:rsid w:val="0024373E"/>
    <w:rsid w:val="00247320"/>
    <w:rsid w:val="00254636"/>
    <w:rsid w:val="00255ECB"/>
    <w:rsid w:val="00256C4C"/>
    <w:rsid w:val="002572FA"/>
    <w:rsid w:val="00262EA5"/>
    <w:rsid w:val="00263D5C"/>
    <w:rsid w:val="00267606"/>
    <w:rsid w:val="00271497"/>
    <w:rsid w:val="0027158A"/>
    <w:rsid w:val="002737BE"/>
    <w:rsid w:val="00274E98"/>
    <w:rsid w:val="00280182"/>
    <w:rsid w:val="00284995"/>
    <w:rsid w:val="0028656D"/>
    <w:rsid w:val="0028739C"/>
    <w:rsid w:val="00290AAA"/>
    <w:rsid w:val="00292009"/>
    <w:rsid w:val="002957FA"/>
    <w:rsid w:val="002958AB"/>
    <w:rsid w:val="002A00DA"/>
    <w:rsid w:val="002A3016"/>
    <w:rsid w:val="002A7793"/>
    <w:rsid w:val="002B1AE1"/>
    <w:rsid w:val="002B3451"/>
    <w:rsid w:val="002B5ECA"/>
    <w:rsid w:val="002B6D5A"/>
    <w:rsid w:val="002C768D"/>
    <w:rsid w:val="002C7D57"/>
    <w:rsid w:val="002D1C27"/>
    <w:rsid w:val="002D200D"/>
    <w:rsid w:val="002D3F66"/>
    <w:rsid w:val="002D6841"/>
    <w:rsid w:val="002E2612"/>
    <w:rsid w:val="002E598E"/>
    <w:rsid w:val="002F105D"/>
    <w:rsid w:val="002F11C4"/>
    <w:rsid w:val="002F2872"/>
    <w:rsid w:val="002F2BFB"/>
    <w:rsid w:val="002F35FF"/>
    <w:rsid w:val="002F3F02"/>
    <w:rsid w:val="002F4CCE"/>
    <w:rsid w:val="003009B4"/>
    <w:rsid w:val="00303249"/>
    <w:rsid w:val="003034ED"/>
    <w:rsid w:val="00303854"/>
    <w:rsid w:val="00303CC8"/>
    <w:rsid w:val="003060BE"/>
    <w:rsid w:val="00306B36"/>
    <w:rsid w:val="00307D66"/>
    <w:rsid w:val="003112A8"/>
    <w:rsid w:val="00315486"/>
    <w:rsid w:val="003168E1"/>
    <w:rsid w:val="003249FA"/>
    <w:rsid w:val="0032587C"/>
    <w:rsid w:val="0032755F"/>
    <w:rsid w:val="00334500"/>
    <w:rsid w:val="00342168"/>
    <w:rsid w:val="00343DE8"/>
    <w:rsid w:val="00344826"/>
    <w:rsid w:val="00350852"/>
    <w:rsid w:val="00352A7E"/>
    <w:rsid w:val="0036227D"/>
    <w:rsid w:val="00363FB2"/>
    <w:rsid w:val="00365E24"/>
    <w:rsid w:val="00366E5E"/>
    <w:rsid w:val="00367215"/>
    <w:rsid w:val="003730F5"/>
    <w:rsid w:val="00373FB5"/>
    <w:rsid w:val="003771BE"/>
    <w:rsid w:val="00380EC8"/>
    <w:rsid w:val="00380EF9"/>
    <w:rsid w:val="00380F8C"/>
    <w:rsid w:val="00381368"/>
    <w:rsid w:val="0038416E"/>
    <w:rsid w:val="0038419E"/>
    <w:rsid w:val="00394764"/>
    <w:rsid w:val="00394829"/>
    <w:rsid w:val="0039494C"/>
    <w:rsid w:val="00394E38"/>
    <w:rsid w:val="003950B5"/>
    <w:rsid w:val="00395B93"/>
    <w:rsid w:val="003A0EF4"/>
    <w:rsid w:val="003A362B"/>
    <w:rsid w:val="003B37C5"/>
    <w:rsid w:val="003B4A80"/>
    <w:rsid w:val="003B5EAB"/>
    <w:rsid w:val="003B74E8"/>
    <w:rsid w:val="003C2F59"/>
    <w:rsid w:val="003D2937"/>
    <w:rsid w:val="003D3839"/>
    <w:rsid w:val="003E4BD0"/>
    <w:rsid w:val="003E6D55"/>
    <w:rsid w:val="003F0A61"/>
    <w:rsid w:val="003F2708"/>
    <w:rsid w:val="003F3765"/>
    <w:rsid w:val="003F4008"/>
    <w:rsid w:val="003F638C"/>
    <w:rsid w:val="00403B36"/>
    <w:rsid w:val="00406531"/>
    <w:rsid w:val="004102B9"/>
    <w:rsid w:val="00411BBE"/>
    <w:rsid w:val="00414097"/>
    <w:rsid w:val="004173B1"/>
    <w:rsid w:val="00421E9C"/>
    <w:rsid w:val="004305FD"/>
    <w:rsid w:val="00433353"/>
    <w:rsid w:val="00433F4E"/>
    <w:rsid w:val="00435235"/>
    <w:rsid w:val="00436555"/>
    <w:rsid w:val="004400B0"/>
    <w:rsid w:val="00441A5C"/>
    <w:rsid w:val="00442C4E"/>
    <w:rsid w:val="00446FD1"/>
    <w:rsid w:val="00450A0E"/>
    <w:rsid w:val="00455BD0"/>
    <w:rsid w:val="00456324"/>
    <w:rsid w:val="004577DF"/>
    <w:rsid w:val="00461ECC"/>
    <w:rsid w:val="00462003"/>
    <w:rsid w:val="00472237"/>
    <w:rsid w:val="0048117E"/>
    <w:rsid w:val="00482A31"/>
    <w:rsid w:val="00482EA9"/>
    <w:rsid w:val="00484BEB"/>
    <w:rsid w:val="00485D68"/>
    <w:rsid w:val="004939E1"/>
    <w:rsid w:val="0049647B"/>
    <w:rsid w:val="004A5A9C"/>
    <w:rsid w:val="004A7A8D"/>
    <w:rsid w:val="004B20F0"/>
    <w:rsid w:val="004B29D7"/>
    <w:rsid w:val="004B388D"/>
    <w:rsid w:val="004B58B9"/>
    <w:rsid w:val="004B5C36"/>
    <w:rsid w:val="004B607F"/>
    <w:rsid w:val="004B67D7"/>
    <w:rsid w:val="004B7C73"/>
    <w:rsid w:val="004C3D48"/>
    <w:rsid w:val="004C53BF"/>
    <w:rsid w:val="004C60F4"/>
    <w:rsid w:val="004C6B02"/>
    <w:rsid w:val="004D221F"/>
    <w:rsid w:val="004D3A5A"/>
    <w:rsid w:val="004D3B42"/>
    <w:rsid w:val="004D6664"/>
    <w:rsid w:val="004D770E"/>
    <w:rsid w:val="004E056A"/>
    <w:rsid w:val="004E0C3A"/>
    <w:rsid w:val="004E7765"/>
    <w:rsid w:val="004F0DEC"/>
    <w:rsid w:val="004F1BB9"/>
    <w:rsid w:val="004F5404"/>
    <w:rsid w:val="004F68EE"/>
    <w:rsid w:val="00500143"/>
    <w:rsid w:val="00500785"/>
    <w:rsid w:val="00501561"/>
    <w:rsid w:val="00505098"/>
    <w:rsid w:val="00506FB5"/>
    <w:rsid w:val="00513102"/>
    <w:rsid w:val="005157E7"/>
    <w:rsid w:val="00515CAD"/>
    <w:rsid w:val="0051619E"/>
    <w:rsid w:val="0051686C"/>
    <w:rsid w:val="00524191"/>
    <w:rsid w:val="00530CF4"/>
    <w:rsid w:val="00531879"/>
    <w:rsid w:val="00532EE7"/>
    <w:rsid w:val="00533410"/>
    <w:rsid w:val="00535BD7"/>
    <w:rsid w:val="005370D7"/>
    <w:rsid w:val="00537A1B"/>
    <w:rsid w:val="00541FD6"/>
    <w:rsid w:val="0054300A"/>
    <w:rsid w:val="0055025C"/>
    <w:rsid w:val="005503F1"/>
    <w:rsid w:val="00551694"/>
    <w:rsid w:val="00554F73"/>
    <w:rsid w:val="00560012"/>
    <w:rsid w:val="005664E1"/>
    <w:rsid w:val="005678F5"/>
    <w:rsid w:val="00567D0A"/>
    <w:rsid w:val="005700E8"/>
    <w:rsid w:val="00571EE7"/>
    <w:rsid w:val="00573431"/>
    <w:rsid w:val="005746A5"/>
    <w:rsid w:val="0057478E"/>
    <w:rsid w:val="0057522B"/>
    <w:rsid w:val="00577821"/>
    <w:rsid w:val="00580698"/>
    <w:rsid w:val="00590519"/>
    <w:rsid w:val="00590FB0"/>
    <w:rsid w:val="005931AF"/>
    <w:rsid w:val="00594FD0"/>
    <w:rsid w:val="00595BA7"/>
    <w:rsid w:val="005A33F4"/>
    <w:rsid w:val="005A3DF9"/>
    <w:rsid w:val="005B01BD"/>
    <w:rsid w:val="005B0FDE"/>
    <w:rsid w:val="005B117A"/>
    <w:rsid w:val="005B156A"/>
    <w:rsid w:val="005B7393"/>
    <w:rsid w:val="005B7BA3"/>
    <w:rsid w:val="005C3032"/>
    <w:rsid w:val="005D1CCE"/>
    <w:rsid w:val="005E4645"/>
    <w:rsid w:val="005E67DB"/>
    <w:rsid w:val="005E69A8"/>
    <w:rsid w:val="005E6D21"/>
    <w:rsid w:val="005F162B"/>
    <w:rsid w:val="005F2B0C"/>
    <w:rsid w:val="005F2F28"/>
    <w:rsid w:val="005F34D5"/>
    <w:rsid w:val="005F3685"/>
    <w:rsid w:val="005F380F"/>
    <w:rsid w:val="005F72FD"/>
    <w:rsid w:val="00603AC5"/>
    <w:rsid w:val="00603D9C"/>
    <w:rsid w:val="0060611D"/>
    <w:rsid w:val="00606F7B"/>
    <w:rsid w:val="00613E7E"/>
    <w:rsid w:val="006171C7"/>
    <w:rsid w:val="00626C3B"/>
    <w:rsid w:val="00626C71"/>
    <w:rsid w:val="00630D5F"/>
    <w:rsid w:val="00632EBA"/>
    <w:rsid w:val="00634649"/>
    <w:rsid w:val="00636A49"/>
    <w:rsid w:val="006400A2"/>
    <w:rsid w:val="00641C8E"/>
    <w:rsid w:val="00642E33"/>
    <w:rsid w:val="00644ACE"/>
    <w:rsid w:val="006461E2"/>
    <w:rsid w:val="00647799"/>
    <w:rsid w:val="00647D2D"/>
    <w:rsid w:val="00655450"/>
    <w:rsid w:val="00660746"/>
    <w:rsid w:val="00663504"/>
    <w:rsid w:val="006646DA"/>
    <w:rsid w:val="00666084"/>
    <w:rsid w:val="00666422"/>
    <w:rsid w:val="006712E3"/>
    <w:rsid w:val="00677215"/>
    <w:rsid w:val="006777C3"/>
    <w:rsid w:val="00680AF4"/>
    <w:rsid w:val="00681566"/>
    <w:rsid w:val="00681EC4"/>
    <w:rsid w:val="00683733"/>
    <w:rsid w:val="00684DE6"/>
    <w:rsid w:val="00686B58"/>
    <w:rsid w:val="006879ED"/>
    <w:rsid w:val="006903F7"/>
    <w:rsid w:val="00695BBA"/>
    <w:rsid w:val="006967A7"/>
    <w:rsid w:val="00697021"/>
    <w:rsid w:val="006A1CD1"/>
    <w:rsid w:val="006A3A76"/>
    <w:rsid w:val="006A48DF"/>
    <w:rsid w:val="006A5B9C"/>
    <w:rsid w:val="006B3F95"/>
    <w:rsid w:val="006C1FA8"/>
    <w:rsid w:val="006D6DA1"/>
    <w:rsid w:val="006E08D4"/>
    <w:rsid w:val="006E2FB7"/>
    <w:rsid w:val="006E3EF4"/>
    <w:rsid w:val="006F1D3C"/>
    <w:rsid w:val="006F2095"/>
    <w:rsid w:val="006F479A"/>
    <w:rsid w:val="006F5AEB"/>
    <w:rsid w:val="007005AC"/>
    <w:rsid w:val="00700E29"/>
    <w:rsid w:val="00701630"/>
    <w:rsid w:val="00701A13"/>
    <w:rsid w:val="00701BEE"/>
    <w:rsid w:val="0070207A"/>
    <w:rsid w:val="00702677"/>
    <w:rsid w:val="00703BE2"/>
    <w:rsid w:val="00706787"/>
    <w:rsid w:val="0070747C"/>
    <w:rsid w:val="007076EE"/>
    <w:rsid w:val="00711486"/>
    <w:rsid w:val="00712AFD"/>
    <w:rsid w:val="00712E93"/>
    <w:rsid w:val="00713B3D"/>
    <w:rsid w:val="00714A9A"/>
    <w:rsid w:val="00714B44"/>
    <w:rsid w:val="007163DF"/>
    <w:rsid w:val="007228C6"/>
    <w:rsid w:val="007278D0"/>
    <w:rsid w:val="00731656"/>
    <w:rsid w:val="00731AB0"/>
    <w:rsid w:val="0073397E"/>
    <w:rsid w:val="0073651C"/>
    <w:rsid w:val="00740C6F"/>
    <w:rsid w:val="007412DA"/>
    <w:rsid w:val="00742CA5"/>
    <w:rsid w:val="00742ED2"/>
    <w:rsid w:val="00742EF0"/>
    <w:rsid w:val="007440E8"/>
    <w:rsid w:val="007473A6"/>
    <w:rsid w:val="0075250F"/>
    <w:rsid w:val="00755F32"/>
    <w:rsid w:val="00761C22"/>
    <w:rsid w:val="007661BA"/>
    <w:rsid w:val="007674C3"/>
    <w:rsid w:val="00770778"/>
    <w:rsid w:val="00771075"/>
    <w:rsid w:val="00772908"/>
    <w:rsid w:val="00773C5D"/>
    <w:rsid w:val="0078793D"/>
    <w:rsid w:val="0079594F"/>
    <w:rsid w:val="007970AD"/>
    <w:rsid w:val="007A06B0"/>
    <w:rsid w:val="007A1164"/>
    <w:rsid w:val="007A68D9"/>
    <w:rsid w:val="007A7813"/>
    <w:rsid w:val="007B0409"/>
    <w:rsid w:val="007B40E9"/>
    <w:rsid w:val="007B6228"/>
    <w:rsid w:val="007B6CAD"/>
    <w:rsid w:val="007B70E2"/>
    <w:rsid w:val="007B794B"/>
    <w:rsid w:val="007C1D12"/>
    <w:rsid w:val="007C3FE4"/>
    <w:rsid w:val="007C60B6"/>
    <w:rsid w:val="007D12B6"/>
    <w:rsid w:val="007D188E"/>
    <w:rsid w:val="007D4331"/>
    <w:rsid w:val="007D77F6"/>
    <w:rsid w:val="007D7EB7"/>
    <w:rsid w:val="007E1178"/>
    <w:rsid w:val="007E3F84"/>
    <w:rsid w:val="007E47FB"/>
    <w:rsid w:val="007E6D85"/>
    <w:rsid w:val="007E75A2"/>
    <w:rsid w:val="007F786C"/>
    <w:rsid w:val="00803E8D"/>
    <w:rsid w:val="00805DCD"/>
    <w:rsid w:val="00812BD2"/>
    <w:rsid w:val="0081443C"/>
    <w:rsid w:val="00815E64"/>
    <w:rsid w:val="0081747F"/>
    <w:rsid w:val="0082383C"/>
    <w:rsid w:val="00826745"/>
    <w:rsid w:val="00827298"/>
    <w:rsid w:val="00831DEB"/>
    <w:rsid w:val="008334FD"/>
    <w:rsid w:val="00834C81"/>
    <w:rsid w:val="00840FA1"/>
    <w:rsid w:val="00842D87"/>
    <w:rsid w:val="00843204"/>
    <w:rsid w:val="00843D96"/>
    <w:rsid w:val="00844C12"/>
    <w:rsid w:val="00855F96"/>
    <w:rsid w:val="00860997"/>
    <w:rsid w:val="00861EFD"/>
    <w:rsid w:val="00862B3C"/>
    <w:rsid w:val="00863667"/>
    <w:rsid w:val="00865B77"/>
    <w:rsid w:val="00866D12"/>
    <w:rsid w:val="00867E17"/>
    <w:rsid w:val="00870533"/>
    <w:rsid w:val="00874A28"/>
    <w:rsid w:val="008817EF"/>
    <w:rsid w:val="00881E89"/>
    <w:rsid w:val="0088676D"/>
    <w:rsid w:val="0089226C"/>
    <w:rsid w:val="00892B32"/>
    <w:rsid w:val="00894DEE"/>
    <w:rsid w:val="00896CB3"/>
    <w:rsid w:val="008A4046"/>
    <w:rsid w:val="008A5C45"/>
    <w:rsid w:val="008A5DA7"/>
    <w:rsid w:val="008A5ECB"/>
    <w:rsid w:val="008B098C"/>
    <w:rsid w:val="008B3B1D"/>
    <w:rsid w:val="008B4419"/>
    <w:rsid w:val="008C16CD"/>
    <w:rsid w:val="008C41BF"/>
    <w:rsid w:val="008C57AE"/>
    <w:rsid w:val="008C628A"/>
    <w:rsid w:val="008D09A6"/>
    <w:rsid w:val="008D17BF"/>
    <w:rsid w:val="008D268A"/>
    <w:rsid w:val="008D6167"/>
    <w:rsid w:val="008E15D5"/>
    <w:rsid w:val="008E1D0E"/>
    <w:rsid w:val="008E4F9F"/>
    <w:rsid w:val="008F12A8"/>
    <w:rsid w:val="008F17BB"/>
    <w:rsid w:val="008F2839"/>
    <w:rsid w:val="008F7F2E"/>
    <w:rsid w:val="009003C8"/>
    <w:rsid w:val="009051A9"/>
    <w:rsid w:val="00915DD8"/>
    <w:rsid w:val="00924914"/>
    <w:rsid w:val="009265F1"/>
    <w:rsid w:val="00927D23"/>
    <w:rsid w:val="00933E39"/>
    <w:rsid w:val="009403FF"/>
    <w:rsid w:val="00940A93"/>
    <w:rsid w:val="009411D8"/>
    <w:rsid w:val="00941BFF"/>
    <w:rsid w:val="00943258"/>
    <w:rsid w:val="009433D7"/>
    <w:rsid w:val="00943C3A"/>
    <w:rsid w:val="00950B00"/>
    <w:rsid w:val="00951508"/>
    <w:rsid w:val="00951F39"/>
    <w:rsid w:val="0095284B"/>
    <w:rsid w:val="009538B4"/>
    <w:rsid w:val="00953AE5"/>
    <w:rsid w:val="00955436"/>
    <w:rsid w:val="00957D34"/>
    <w:rsid w:val="009701C6"/>
    <w:rsid w:val="00976F80"/>
    <w:rsid w:val="009770DD"/>
    <w:rsid w:val="0098274E"/>
    <w:rsid w:val="009831F7"/>
    <w:rsid w:val="009839F6"/>
    <w:rsid w:val="009870BD"/>
    <w:rsid w:val="00987519"/>
    <w:rsid w:val="009875F5"/>
    <w:rsid w:val="009957CC"/>
    <w:rsid w:val="0099674C"/>
    <w:rsid w:val="009A0051"/>
    <w:rsid w:val="009A096A"/>
    <w:rsid w:val="009A205A"/>
    <w:rsid w:val="009A3EA0"/>
    <w:rsid w:val="009A4060"/>
    <w:rsid w:val="009A4167"/>
    <w:rsid w:val="009B1340"/>
    <w:rsid w:val="009B1512"/>
    <w:rsid w:val="009B264D"/>
    <w:rsid w:val="009B6175"/>
    <w:rsid w:val="009C0ED3"/>
    <w:rsid w:val="009C3050"/>
    <w:rsid w:val="009C68CD"/>
    <w:rsid w:val="009C7E5F"/>
    <w:rsid w:val="009D0F03"/>
    <w:rsid w:val="009D35E5"/>
    <w:rsid w:val="009D45BF"/>
    <w:rsid w:val="009D6D5F"/>
    <w:rsid w:val="009D7932"/>
    <w:rsid w:val="009E21A9"/>
    <w:rsid w:val="009E2661"/>
    <w:rsid w:val="009E340E"/>
    <w:rsid w:val="009E4D42"/>
    <w:rsid w:val="009E4FAC"/>
    <w:rsid w:val="009E59BD"/>
    <w:rsid w:val="009E6A1C"/>
    <w:rsid w:val="009F2294"/>
    <w:rsid w:val="009F5EB1"/>
    <w:rsid w:val="00A05B04"/>
    <w:rsid w:val="00A112E7"/>
    <w:rsid w:val="00A13843"/>
    <w:rsid w:val="00A15DA9"/>
    <w:rsid w:val="00A2439A"/>
    <w:rsid w:val="00A24E02"/>
    <w:rsid w:val="00A26C29"/>
    <w:rsid w:val="00A26D34"/>
    <w:rsid w:val="00A27E86"/>
    <w:rsid w:val="00A30880"/>
    <w:rsid w:val="00A35C45"/>
    <w:rsid w:val="00A413AE"/>
    <w:rsid w:val="00A43747"/>
    <w:rsid w:val="00A4398A"/>
    <w:rsid w:val="00A43D08"/>
    <w:rsid w:val="00A46383"/>
    <w:rsid w:val="00A469D2"/>
    <w:rsid w:val="00A4778E"/>
    <w:rsid w:val="00A542A7"/>
    <w:rsid w:val="00A57158"/>
    <w:rsid w:val="00A57293"/>
    <w:rsid w:val="00A57F9B"/>
    <w:rsid w:val="00A603F7"/>
    <w:rsid w:val="00A604EB"/>
    <w:rsid w:val="00A610D5"/>
    <w:rsid w:val="00A62E29"/>
    <w:rsid w:val="00A62F1D"/>
    <w:rsid w:val="00A63692"/>
    <w:rsid w:val="00A63A2C"/>
    <w:rsid w:val="00A648BB"/>
    <w:rsid w:val="00A74D11"/>
    <w:rsid w:val="00A77625"/>
    <w:rsid w:val="00A85089"/>
    <w:rsid w:val="00A8679E"/>
    <w:rsid w:val="00A87A80"/>
    <w:rsid w:val="00A90432"/>
    <w:rsid w:val="00A920EA"/>
    <w:rsid w:val="00A94298"/>
    <w:rsid w:val="00A9534A"/>
    <w:rsid w:val="00A95E90"/>
    <w:rsid w:val="00AB41B6"/>
    <w:rsid w:val="00AC140C"/>
    <w:rsid w:val="00AC21A4"/>
    <w:rsid w:val="00AC4171"/>
    <w:rsid w:val="00AC56D0"/>
    <w:rsid w:val="00AC79B5"/>
    <w:rsid w:val="00AD3AC8"/>
    <w:rsid w:val="00AD7DF9"/>
    <w:rsid w:val="00AE055B"/>
    <w:rsid w:val="00AE6DD8"/>
    <w:rsid w:val="00AE71C4"/>
    <w:rsid w:val="00AE7B68"/>
    <w:rsid w:val="00AF2EA7"/>
    <w:rsid w:val="00AF56BE"/>
    <w:rsid w:val="00AF6685"/>
    <w:rsid w:val="00B00B48"/>
    <w:rsid w:val="00B01D9B"/>
    <w:rsid w:val="00B03373"/>
    <w:rsid w:val="00B06947"/>
    <w:rsid w:val="00B128D3"/>
    <w:rsid w:val="00B157F4"/>
    <w:rsid w:val="00B167CB"/>
    <w:rsid w:val="00B16E92"/>
    <w:rsid w:val="00B17727"/>
    <w:rsid w:val="00B20993"/>
    <w:rsid w:val="00B24976"/>
    <w:rsid w:val="00B253CC"/>
    <w:rsid w:val="00B358DF"/>
    <w:rsid w:val="00B43F23"/>
    <w:rsid w:val="00B45B51"/>
    <w:rsid w:val="00B4768E"/>
    <w:rsid w:val="00B523AE"/>
    <w:rsid w:val="00B534F9"/>
    <w:rsid w:val="00B54F82"/>
    <w:rsid w:val="00B55074"/>
    <w:rsid w:val="00B55423"/>
    <w:rsid w:val="00B55C07"/>
    <w:rsid w:val="00B56D9A"/>
    <w:rsid w:val="00B60B94"/>
    <w:rsid w:val="00B619FC"/>
    <w:rsid w:val="00B626A1"/>
    <w:rsid w:val="00B640E6"/>
    <w:rsid w:val="00B65D82"/>
    <w:rsid w:val="00B729E6"/>
    <w:rsid w:val="00B72E25"/>
    <w:rsid w:val="00B74277"/>
    <w:rsid w:val="00B74895"/>
    <w:rsid w:val="00B75271"/>
    <w:rsid w:val="00B75639"/>
    <w:rsid w:val="00B75A4A"/>
    <w:rsid w:val="00B80EC7"/>
    <w:rsid w:val="00B81CA1"/>
    <w:rsid w:val="00B83194"/>
    <w:rsid w:val="00B84AAA"/>
    <w:rsid w:val="00B8641E"/>
    <w:rsid w:val="00B90C61"/>
    <w:rsid w:val="00B90CAF"/>
    <w:rsid w:val="00B9172A"/>
    <w:rsid w:val="00B92A0F"/>
    <w:rsid w:val="00B950B0"/>
    <w:rsid w:val="00BA2688"/>
    <w:rsid w:val="00BA3628"/>
    <w:rsid w:val="00BA64BE"/>
    <w:rsid w:val="00BB0336"/>
    <w:rsid w:val="00BB1914"/>
    <w:rsid w:val="00BB607B"/>
    <w:rsid w:val="00BC0DE7"/>
    <w:rsid w:val="00BC3CC1"/>
    <w:rsid w:val="00BC5FB8"/>
    <w:rsid w:val="00BC7457"/>
    <w:rsid w:val="00BC765A"/>
    <w:rsid w:val="00BC7D28"/>
    <w:rsid w:val="00BD0C8B"/>
    <w:rsid w:val="00BD20F6"/>
    <w:rsid w:val="00BD2604"/>
    <w:rsid w:val="00BD3CE9"/>
    <w:rsid w:val="00BD6769"/>
    <w:rsid w:val="00BD6932"/>
    <w:rsid w:val="00BD7F7B"/>
    <w:rsid w:val="00BE090E"/>
    <w:rsid w:val="00BE0FEC"/>
    <w:rsid w:val="00BE3810"/>
    <w:rsid w:val="00BE39CD"/>
    <w:rsid w:val="00BE6497"/>
    <w:rsid w:val="00BE7F32"/>
    <w:rsid w:val="00BF05A8"/>
    <w:rsid w:val="00BF5810"/>
    <w:rsid w:val="00C00586"/>
    <w:rsid w:val="00C01104"/>
    <w:rsid w:val="00C05D70"/>
    <w:rsid w:val="00C066B7"/>
    <w:rsid w:val="00C13CF1"/>
    <w:rsid w:val="00C1675B"/>
    <w:rsid w:val="00C21041"/>
    <w:rsid w:val="00C21F93"/>
    <w:rsid w:val="00C22E34"/>
    <w:rsid w:val="00C308DE"/>
    <w:rsid w:val="00C3661E"/>
    <w:rsid w:val="00C40215"/>
    <w:rsid w:val="00C440F3"/>
    <w:rsid w:val="00C44E0E"/>
    <w:rsid w:val="00C4598A"/>
    <w:rsid w:val="00C45F53"/>
    <w:rsid w:val="00C4666A"/>
    <w:rsid w:val="00C4735F"/>
    <w:rsid w:val="00C509FF"/>
    <w:rsid w:val="00C547F3"/>
    <w:rsid w:val="00C600FA"/>
    <w:rsid w:val="00C63C83"/>
    <w:rsid w:val="00C649C3"/>
    <w:rsid w:val="00C67FCF"/>
    <w:rsid w:val="00C74EB6"/>
    <w:rsid w:val="00C76DFC"/>
    <w:rsid w:val="00C815D7"/>
    <w:rsid w:val="00C81E8B"/>
    <w:rsid w:val="00C91AB7"/>
    <w:rsid w:val="00C92421"/>
    <w:rsid w:val="00C971B2"/>
    <w:rsid w:val="00C97E7E"/>
    <w:rsid w:val="00CA7D9E"/>
    <w:rsid w:val="00CB0F2D"/>
    <w:rsid w:val="00CB4626"/>
    <w:rsid w:val="00CB51AB"/>
    <w:rsid w:val="00CB65C0"/>
    <w:rsid w:val="00CB6A4A"/>
    <w:rsid w:val="00CC0E98"/>
    <w:rsid w:val="00CC2227"/>
    <w:rsid w:val="00CC3304"/>
    <w:rsid w:val="00CD0240"/>
    <w:rsid w:val="00CE1EE4"/>
    <w:rsid w:val="00CE44E5"/>
    <w:rsid w:val="00CE6188"/>
    <w:rsid w:val="00CF3CCD"/>
    <w:rsid w:val="00CF513C"/>
    <w:rsid w:val="00CF7EC5"/>
    <w:rsid w:val="00D00439"/>
    <w:rsid w:val="00D00FE5"/>
    <w:rsid w:val="00D026C3"/>
    <w:rsid w:val="00D15222"/>
    <w:rsid w:val="00D15695"/>
    <w:rsid w:val="00D17F49"/>
    <w:rsid w:val="00D21CCD"/>
    <w:rsid w:val="00D25658"/>
    <w:rsid w:val="00D25C87"/>
    <w:rsid w:val="00D27018"/>
    <w:rsid w:val="00D30832"/>
    <w:rsid w:val="00D3622B"/>
    <w:rsid w:val="00D42BC3"/>
    <w:rsid w:val="00D4550F"/>
    <w:rsid w:val="00D46C9E"/>
    <w:rsid w:val="00D47EC8"/>
    <w:rsid w:val="00D51658"/>
    <w:rsid w:val="00D536B6"/>
    <w:rsid w:val="00D5514E"/>
    <w:rsid w:val="00D56378"/>
    <w:rsid w:val="00D5725A"/>
    <w:rsid w:val="00D57D11"/>
    <w:rsid w:val="00D61A1D"/>
    <w:rsid w:val="00D61F8C"/>
    <w:rsid w:val="00D64144"/>
    <w:rsid w:val="00D754E9"/>
    <w:rsid w:val="00D7691C"/>
    <w:rsid w:val="00D80962"/>
    <w:rsid w:val="00D8266D"/>
    <w:rsid w:val="00D83241"/>
    <w:rsid w:val="00D93E4E"/>
    <w:rsid w:val="00DA33D9"/>
    <w:rsid w:val="00DA7840"/>
    <w:rsid w:val="00DB16B9"/>
    <w:rsid w:val="00DB26A6"/>
    <w:rsid w:val="00DC0782"/>
    <w:rsid w:val="00DC1B51"/>
    <w:rsid w:val="00DC468C"/>
    <w:rsid w:val="00DC4CCB"/>
    <w:rsid w:val="00DD038F"/>
    <w:rsid w:val="00DD4EB5"/>
    <w:rsid w:val="00DD6C1E"/>
    <w:rsid w:val="00DE10AB"/>
    <w:rsid w:val="00DE6945"/>
    <w:rsid w:val="00DE6FE9"/>
    <w:rsid w:val="00DF0F44"/>
    <w:rsid w:val="00DF2FDE"/>
    <w:rsid w:val="00DF37FA"/>
    <w:rsid w:val="00DF42D6"/>
    <w:rsid w:val="00DF518A"/>
    <w:rsid w:val="00E02532"/>
    <w:rsid w:val="00E036A7"/>
    <w:rsid w:val="00E056A7"/>
    <w:rsid w:val="00E0636F"/>
    <w:rsid w:val="00E11B54"/>
    <w:rsid w:val="00E11FE8"/>
    <w:rsid w:val="00E14BFB"/>
    <w:rsid w:val="00E15018"/>
    <w:rsid w:val="00E16248"/>
    <w:rsid w:val="00E16B2F"/>
    <w:rsid w:val="00E2135F"/>
    <w:rsid w:val="00E21AE7"/>
    <w:rsid w:val="00E25FAD"/>
    <w:rsid w:val="00E2677F"/>
    <w:rsid w:val="00E269E5"/>
    <w:rsid w:val="00E31B48"/>
    <w:rsid w:val="00E31BFC"/>
    <w:rsid w:val="00E358F1"/>
    <w:rsid w:val="00E46947"/>
    <w:rsid w:val="00E56561"/>
    <w:rsid w:val="00E61280"/>
    <w:rsid w:val="00E6228E"/>
    <w:rsid w:val="00E6485A"/>
    <w:rsid w:val="00E66B31"/>
    <w:rsid w:val="00E72641"/>
    <w:rsid w:val="00E731B9"/>
    <w:rsid w:val="00E740F4"/>
    <w:rsid w:val="00E775BC"/>
    <w:rsid w:val="00E81D89"/>
    <w:rsid w:val="00E90216"/>
    <w:rsid w:val="00E9336F"/>
    <w:rsid w:val="00E95F0B"/>
    <w:rsid w:val="00E97931"/>
    <w:rsid w:val="00EA0E0F"/>
    <w:rsid w:val="00EA1087"/>
    <w:rsid w:val="00EA19E5"/>
    <w:rsid w:val="00EA3E3E"/>
    <w:rsid w:val="00EA6F59"/>
    <w:rsid w:val="00EB0D38"/>
    <w:rsid w:val="00EB4088"/>
    <w:rsid w:val="00EB40D1"/>
    <w:rsid w:val="00EB6C66"/>
    <w:rsid w:val="00ED14EE"/>
    <w:rsid w:val="00ED2A97"/>
    <w:rsid w:val="00ED4371"/>
    <w:rsid w:val="00ED65E5"/>
    <w:rsid w:val="00ED7886"/>
    <w:rsid w:val="00EE31F4"/>
    <w:rsid w:val="00EE3C02"/>
    <w:rsid w:val="00EF16A3"/>
    <w:rsid w:val="00EF16ED"/>
    <w:rsid w:val="00EF3C80"/>
    <w:rsid w:val="00EF530C"/>
    <w:rsid w:val="00F00710"/>
    <w:rsid w:val="00F01075"/>
    <w:rsid w:val="00F03ED8"/>
    <w:rsid w:val="00F047B0"/>
    <w:rsid w:val="00F04855"/>
    <w:rsid w:val="00F06167"/>
    <w:rsid w:val="00F06973"/>
    <w:rsid w:val="00F11667"/>
    <w:rsid w:val="00F14014"/>
    <w:rsid w:val="00F15CFB"/>
    <w:rsid w:val="00F16F71"/>
    <w:rsid w:val="00F209D1"/>
    <w:rsid w:val="00F26DC5"/>
    <w:rsid w:val="00F27F38"/>
    <w:rsid w:val="00F31D5A"/>
    <w:rsid w:val="00F34FF0"/>
    <w:rsid w:val="00F40016"/>
    <w:rsid w:val="00F40737"/>
    <w:rsid w:val="00F416C7"/>
    <w:rsid w:val="00F4261F"/>
    <w:rsid w:val="00F428AC"/>
    <w:rsid w:val="00F433E2"/>
    <w:rsid w:val="00F439FD"/>
    <w:rsid w:val="00F454C6"/>
    <w:rsid w:val="00F45D67"/>
    <w:rsid w:val="00F479AF"/>
    <w:rsid w:val="00F54033"/>
    <w:rsid w:val="00F545C9"/>
    <w:rsid w:val="00F61CF7"/>
    <w:rsid w:val="00F62921"/>
    <w:rsid w:val="00F65FAA"/>
    <w:rsid w:val="00F707A4"/>
    <w:rsid w:val="00F724ED"/>
    <w:rsid w:val="00F73DD1"/>
    <w:rsid w:val="00F74211"/>
    <w:rsid w:val="00F742C2"/>
    <w:rsid w:val="00F7430A"/>
    <w:rsid w:val="00F7523D"/>
    <w:rsid w:val="00F76740"/>
    <w:rsid w:val="00F769D7"/>
    <w:rsid w:val="00F80CDC"/>
    <w:rsid w:val="00F816C9"/>
    <w:rsid w:val="00F82760"/>
    <w:rsid w:val="00F82C09"/>
    <w:rsid w:val="00F839F3"/>
    <w:rsid w:val="00F83C3C"/>
    <w:rsid w:val="00F8631B"/>
    <w:rsid w:val="00F943A6"/>
    <w:rsid w:val="00F943F1"/>
    <w:rsid w:val="00FA022A"/>
    <w:rsid w:val="00FA117C"/>
    <w:rsid w:val="00FA270C"/>
    <w:rsid w:val="00FA41DC"/>
    <w:rsid w:val="00FA509F"/>
    <w:rsid w:val="00FA6B3E"/>
    <w:rsid w:val="00FB01B7"/>
    <w:rsid w:val="00FB5DC6"/>
    <w:rsid w:val="00FB674E"/>
    <w:rsid w:val="00FC1AF7"/>
    <w:rsid w:val="00FC6476"/>
    <w:rsid w:val="00FC6F55"/>
    <w:rsid w:val="00FD07EC"/>
    <w:rsid w:val="00FD1B53"/>
    <w:rsid w:val="00FD7B9A"/>
    <w:rsid w:val="00FE1520"/>
    <w:rsid w:val="00FE24A4"/>
    <w:rsid w:val="00FE4D9E"/>
    <w:rsid w:val="00FF1F47"/>
    <w:rsid w:val="00FF3CED"/>
    <w:rsid w:val="00FF511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DCCC8-3770-486C-8B17-6D62FB8F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00D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00D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2D200D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2D200D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2D200D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2D20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5B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B9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AD3AC8"/>
    <w:rPr>
      <w:color w:val="808080"/>
    </w:rPr>
  </w:style>
  <w:style w:type="paragraph" w:styleId="af">
    <w:name w:val="footnote text"/>
    <w:basedOn w:val="a"/>
    <w:link w:val="af0"/>
    <w:uiPriority w:val="99"/>
    <w:unhideWhenUsed/>
    <w:rsid w:val="000D320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D32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0D3207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6F5AE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F5AE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F5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5A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5A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7D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0748E2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Hyperlink"/>
    <w:basedOn w:val="a0"/>
    <w:uiPriority w:val="99"/>
    <w:unhideWhenUsed/>
    <w:rsid w:val="00BD3CE9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7"/>
    <w:uiPriority w:val="59"/>
    <w:rsid w:val="00D80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DCDA-0FBA-4866-8718-DE9BE61A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.</cp:lastModifiedBy>
  <cp:revision>4</cp:revision>
  <cp:lastPrinted>2017-09-14T15:15:00Z</cp:lastPrinted>
  <dcterms:created xsi:type="dcterms:W3CDTF">2018-12-20T16:04:00Z</dcterms:created>
  <dcterms:modified xsi:type="dcterms:W3CDTF">2019-01-17T08:33:00Z</dcterms:modified>
</cp:coreProperties>
</file>