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3574" w14:textId="77777777" w:rsidR="00F4386C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F4386C" w14:paraId="7CE5B619" w14:textId="77777777" w:rsidTr="00F4386C">
        <w:tc>
          <w:tcPr>
            <w:tcW w:w="5452" w:type="dxa"/>
          </w:tcPr>
          <w:p w14:paraId="78CAC2AC" w14:textId="486645F3" w:rsidR="00F4386C" w:rsidRDefault="00F4386C" w:rsidP="00281C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159B2BA2" w14:textId="20AEB15D" w:rsidR="00F4386C" w:rsidRPr="00F4386C" w:rsidRDefault="00F4386C" w:rsidP="00F4386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20.12.2022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4833CBFA" w14:textId="77777777" w:rsidR="00F4386C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3F0C9A09" w14:textId="77777777" w:rsidR="00F4386C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FEB3BDE" w14:textId="4521DC48" w:rsidR="00281CFE" w:rsidRPr="00BF5763" w:rsidRDefault="00281CFE" w:rsidP="00F438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F85EE1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F85EE1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F85EE1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FC7139" w:rsidRDefault="000E31EE" w:rsidP="00B62676">
      <w:pPr>
        <w:ind w:left="567"/>
        <w:rPr>
          <w:rFonts w:ascii="Times New Roman" w:eastAsia="MS Mincho" w:hAnsi="Times New Roman" w:cs="Times New Roman"/>
          <w:color w:val="000000"/>
          <w:sz w:val="4"/>
          <w:szCs w:val="4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6C2CC5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DA68B5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6C2CC5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9B4F111" w14:textId="75DDE1E9" w:rsidR="00DA68B5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D2614FF" w14:textId="5C3098DC" w:rsidR="008540D0" w:rsidRPr="00C0095C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F074553" w14:textId="4F651B71" w:rsidR="00BB7538" w:rsidRPr="002A1011" w:rsidRDefault="00BB7538" w:rsidP="00BB7538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tbl>
      <w:tblPr>
        <w:tblW w:w="101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67"/>
        <w:gridCol w:w="851"/>
        <w:gridCol w:w="4111"/>
        <w:gridCol w:w="1134"/>
        <w:gridCol w:w="2752"/>
      </w:tblGrid>
      <w:tr w:rsidR="00F93A57" w:rsidRPr="00B71D72" w14:paraId="14297B7B" w14:textId="02AB2A2B" w:rsidTr="00FC7139">
        <w:trPr>
          <w:trHeight w:val="510"/>
        </w:trPr>
        <w:tc>
          <w:tcPr>
            <w:tcW w:w="708" w:type="dxa"/>
            <w:shd w:val="clear" w:color="auto" w:fill="F2F2F2"/>
            <w:vAlign w:val="center"/>
          </w:tcPr>
          <w:p w14:paraId="3F23AEF4" w14:textId="0A38F471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6FB9C48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DA7679A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4111" w:type="dxa"/>
            <w:shd w:val="clear" w:color="auto" w:fill="F2F2F2"/>
          </w:tcPr>
          <w:p w14:paraId="6A3E3292" w14:textId="77777777" w:rsid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F93A57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3339035E" w14:textId="1F20FF38" w:rsidR="00F93A57" w:rsidRPr="002471FB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26653831" w14:textId="14F5C2A5" w:rsidR="00F93A57" w:rsidRPr="00B71D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86" w:type="dxa"/>
            <w:gridSpan w:val="2"/>
            <w:shd w:val="clear" w:color="auto" w:fill="F2F2F2"/>
          </w:tcPr>
          <w:p w14:paraId="6832C566" w14:textId="1C8D5218" w:rsidR="00F93A57" w:rsidRPr="00F93A57" w:rsidRDefault="00F93A57" w:rsidP="00F93A57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  <w:p w14:paraId="7ECBBF34" w14:textId="7642811A" w:rsidR="00F93A57" w:rsidRPr="00F93A57" w:rsidRDefault="00F93A57" w:rsidP="00F93A57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7B7D5ABB" w14:textId="319C1354" w:rsidR="00F93A57" w:rsidRP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F93A57" w:rsidRPr="00C0095C" w14:paraId="13D074B0" w14:textId="130EB119" w:rsidTr="00FC7139">
        <w:trPr>
          <w:trHeight w:val="212"/>
        </w:trPr>
        <w:tc>
          <w:tcPr>
            <w:tcW w:w="708" w:type="dxa"/>
            <w:vMerge w:val="restart"/>
          </w:tcPr>
          <w:p w14:paraId="3798DC12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7E3F6964" w14:textId="795D8382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1BB0CC6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5FE5F40D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FF1C00" w14:textId="11B9029B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52" w:type="dxa"/>
          </w:tcPr>
          <w:p w14:paraId="35ACCB8C" w14:textId="3280606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34C5BBA5" w14:textId="77777777" w:rsidTr="00FC7139">
        <w:trPr>
          <w:trHeight w:val="212"/>
        </w:trPr>
        <w:tc>
          <w:tcPr>
            <w:tcW w:w="708" w:type="dxa"/>
            <w:vMerge/>
          </w:tcPr>
          <w:p w14:paraId="0F0CB1BE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50B8389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5C223D7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13E5DFBA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261855" w14:textId="070CC371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52" w:type="dxa"/>
          </w:tcPr>
          <w:p w14:paraId="74C49645" w14:textId="085F46A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223CC3D4" w14:textId="77777777" w:rsidTr="00FC7139">
        <w:trPr>
          <w:trHeight w:val="212"/>
        </w:trPr>
        <w:tc>
          <w:tcPr>
            <w:tcW w:w="708" w:type="dxa"/>
            <w:vMerge/>
          </w:tcPr>
          <w:p w14:paraId="20BC760B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9095A4F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6DA927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3A32C71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409D5E4" w14:textId="0AB0513C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52" w:type="dxa"/>
          </w:tcPr>
          <w:p w14:paraId="490D6732" w14:textId="392964B9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2"/>
        <w:gridCol w:w="1701"/>
        <w:gridCol w:w="1701"/>
      </w:tblGrid>
      <w:tr w:rsidR="003F1F8B" w:rsidRPr="00C0095C" w14:paraId="6923AB41" w14:textId="77777777" w:rsidTr="008B165A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701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701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8B165A" w:rsidRPr="00C0095C" w14:paraId="1AAB0634" w14:textId="77777777" w:rsidTr="008B165A">
        <w:trPr>
          <w:trHeight w:val="1057"/>
        </w:trPr>
        <w:tc>
          <w:tcPr>
            <w:tcW w:w="567" w:type="dxa"/>
          </w:tcPr>
          <w:p w14:paraId="0821CF86" w14:textId="515C1DD9" w:rsidR="008B165A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14:paraId="7FB9ABA5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8B165A" w:rsidRPr="00D31D4C" w:rsidRDefault="008B165A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*обязательная опция для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842" w:type="dxa"/>
          </w:tcPr>
          <w:p w14:paraId="696D6B64" w14:textId="77777777" w:rsidR="008B165A" w:rsidRDefault="008B165A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8B165A" w:rsidRDefault="008B165A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8B165A" w:rsidRDefault="008B165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</w:tcPr>
          <w:p w14:paraId="51DB5A41" w14:textId="77777777" w:rsidR="008B165A" w:rsidRPr="006C2CC5" w:rsidRDefault="008B165A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8B165A" w:rsidRPr="006C2CC5" w:rsidRDefault="008B165A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8B165A" w:rsidRDefault="008B165A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vAlign w:val="center"/>
          </w:tcPr>
          <w:p w14:paraId="23AF6464" w14:textId="2BC44943" w:rsidR="008B165A" w:rsidRPr="00C0095C" w:rsidRDefault="006B7C0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параметр </w:t>
            </w:r>
          </w:p>
        </w:tc>
      </w:tr>
      <w:tr w:rsidR="003F1F8B" w:rsidRPr="00C0095C" w14:paraId="1BB50F7A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5461FB9" w14:textId="3BD8C897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701" w:type="dxa"/>
            <w:vAlign w:val="center"/>
          </w:tcPr>
          <w:p w14:paraId="4F08B282" w14:textId="562F60BA" w:rsidR="003F1F8B" w:rsidRPr="00C0095C" w:rsidRDefault="00F85EE1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8B165A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471B57" w14:textId="4B9AE9DB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8B165A">
        <w:trPr>
          <w:trHeight w:val="387"/>
        </w:trPr>
        <w:tc>
          <w:tcPr>
            <w:tcW w:w="567" w:type="dxa"/>
            <w:vMerge w:val="restart"/>
          </w:tcPr>
          <w:p w14:paraId="2AE46CEE" w14:textId="7923F971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8B165A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2687C9CB" w14:textId="5692C53E" w:rsidR="003F1F8B" w:rsidRPr="00C0095C" w:rsidRDefault="00750A44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842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8B165A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AC49EE7" w14:textId="0CFD2D82" w:rsidR="003F1F8B" w:rsidRPr="00C0095C" w:rsidRDefault="00750A44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842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8B165A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691BBDDE" w14:textId="700C2F43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8B165A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3662D14E" w14:textId="65E17F05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8B165A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8B165A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2F319878" w:rsidR="00F426E6" w:rsidRPr="00B71D72" w:rsidRDefault="00750A44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842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8B165A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F85EE1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B1764" w14:paraId="5E1C70A1" w14:textId="77777777" w:rsidTr="00B51D37">
        <w:trPr>
          <w:trHeight w:val="624"/>
        </w:trPr>
        <w:tc>
          <w:tcPr>
            <w:tcW w:w="567" w:type="dxa"/>
            <w:vMerge w:val="restart"/>
          </w:tcPr>
          <w:p w14:paraId="013401CF" w14:textId="77777777" w:rsidR="003B1764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61E11" w14:textId="553D1DFD" w:rsidR="003B1764" w:rsidRPr="00B71D72" w:rsidRDefault="003B1764" w:rsidP="00521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</w:tcPr>
          <w:p w14:paraId="27827085" w14:textId="4A6B7BFE" w:rsidR="003B1764" w:rsidRDefault="003B1764" w:rsidP="00521855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552DA9EC" w14:textId="53B157D6" w:rsidR="003B1764" w:rsidRPr="00B51D37" w:rsidRDefault="003B1764" w:rsidP="00B51D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51D37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1842" w:type="dxa"/>
            <w:vMerge w:val="restart"/>
          </w:tcPr>
          <w:p w14:paraId="3156193C" w14:textId="77777777" w:rsidR="00B51D37" w:rsidRDefault="00B51D37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DCB2E7" w14:textId="5583836F" w:rsidR="003B1764" w:rsidRDefault="003B1764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54C81E89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C4846B6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12D1BFF" w14:textId="77777777" w:rsidR="00B51D37" w:rsidRDefault="00B51D37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1BCD7EE6" w14:textId="4F12D974" w:rsidR="003B1764" w:rsidRPr="006C2CC5" w:rsidRDefault="003B1764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589FBAC" w14:textId="77777777" w:rsidR="003B1764" w:rsidRPr="00712FFD" w:rsidRDefault="003B1764" w:rsidP="0052185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F38" w14:textId="77777777" w:rsidR="003B1764" w:rsidRDefault="00F85EE1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9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B1764" w14:paraId="447991BF" w14:textId="77777777" w:rsidTr="00521855">
        <w:trPr>
          <w:trHeight w:val="489"/>
        </w:trPr>
        <w:tc>
          <w:tcPr>
            <w:tcW w:w="567" w:type="dxa"/>
            <w:vMerge/>
          </w:tcPr>
          <w:p w14:paraId="0419AD8E" w14:textId="77777777" w:rsidR="003B1764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23C4A0" w14:textId="77777777" w:rsidR="003B1764" w:rsidRPr="00C0095C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F3B1620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8CCA7F5" w14:textId="77777777" w:rsidR="003B1764" w:rsidRDefault="003B1764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625" w14:textId="77777777" w:rsidR="003B1764" w:rsidRDefault="00F85EE1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95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40D2DB1D" w14:textId="77777777" w:rsidR="003B1764" w:rsidRDefault="003B176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105ECD6" w14:textId="1A18B48A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03492A">
        <w:trPr>
          <w:trHeight w:val="422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BE0FC1E" w14:textId="31ED4403" w:rsidR="001C05FC" w:rsidRDefault="001C05FC" w:rsidP="0003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03492A">
        <w:trPr>
          <w:trHeight w:val="4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B2E5779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F67D75B" w14:textId="3B7C2BD5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4F38108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06B0755B" w:rsidR="00B46B1A" w:rsidRPr="00436E95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услуги 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договору ИТО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F85EE1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F85EE1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F85EE1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3CDAFD2C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F85EE1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EC7AEF" w:rsidRDefault="00F85EE1" w:rsidP="00081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F85EE1" w:rsidP="000811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6E29BBDC" w:rsidR="00326AC9" w:rsidRPr="002471FB" w:rsidRDefault="00F85EE1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vAlign w:val="center"/>
          </w:tcPr>
          <w:p w14:paraId="77D43BAA" w14:textId="2029376B" w:rsidR="00D73027" w:rsidRDefault="00326AC9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83FC295" w14:textId="77777777" w:rsidR="00DE248F" w:rsidRPr="00DE248F" w:rsidRDefault="00DE248F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ru-RU"/>
              </w:rPr>
            </w:pPr>
          </w:p>
          <w:p w14:paraId="10D9CC50" w14:textId="5B8F3676" w:rsidR="00326AC9" w:rsidRPr="00DE248F" w:rsidRDefault="00D73027" w:rsidP="00DE248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09926EC1" w:rsidR="00326AC9" w:rsidRPr="002471FB" w:rsidRDefault="00F85EE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F85EE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F85EE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F85EE1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F85EE1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62A5E5C3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3D46BAD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C74D2A9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A2B0A87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435D1DB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A66F571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ACF5156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D847666" w14:textId="77777777" w:rsidR="0003492A" w:rsidRPr="00F4386C" w:rsidRDefault="0003492A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BAE9D39" w14:textId="3E701939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C5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424" w:bottom="96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30F6" w14:textId="77777777" w:rsidR="00F85EE1" w:rsidRDefault="00F85EE1" w:rsidP="00F4386C">
      <w:pPr>
        <w:spacing w:after="0" w:line="240" w:lineRule="auto"/>
      </w:pPr>
      <w:r>
        <w:separator/>
      </w:r>
    </w:p>
  </w:endnote>
  <w:endnote w:type="continuationSeparator" w:id="0">
    <w:p w14:paraId="2C819D00" w14:textId="77777777" w:rsidR="00F85EE1" w:rsidRDefault="00F85EE1" w:rsidP="00F4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092C" w14:textId="77777777" w:rsidR="00C554AA" w:rsidRDefault="00C554A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4E01" w14:textId="77777777" w:rsidR="00C554AA" w:rsidRDefault="00C554A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2245" w14:textId="77777777" w:rsidR="00C554AA" w:rsidRDefault="00C554A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D59F" w14:textId="77777777" w:rsidR="00F85EE1" w:rsidRDefault="00F85EE1" w:rsidP="00F4386C">
      <w:pPr>
        <w:spacing w:after="0" w:line="240" w:lineRule="auto"/>
      </w:pPr>
      <w:r>
        <w:separator/>
      </w:r>
    </w:p>
  </w:footnote>
  <w:footnote w:type="continuationSeparator" w:id="0">
    <w:p w14:paraId="19873DF3" w14:textId="77777777" w:rsidR="00F85EE1" w:rsidRDefault="00F85EE1" w:rsidP="00F4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236B" w14:textId="77777777" w:rsidR="00C554AA" w:rsidRDefault="00C554A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BFF0" w14:textId="64A52888" w:rsidR="00F4386C" w:rsidRPr="00C554AA" w:rsidRDefault="00F4386C" w:rsidP="00C554A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E40C" w14:textId="58DCF025" w:rsidR="00C554AA" w:rsidRDefault="00C554AA">
    <w:pPr>
      <w:pStyle w:val="ae"/>
    </w:pPr>
    <w:r w:rsidRPr="00F4386C">
      <w:t xml:space="preserve">Заявление на идентификаторы технического доступа </w:t>
    </w:r>
    <w:r>
      <w:br/>
    </w:r>
    <w:r w:rsidRPr="00F4386C">
      <w:t xml:space="preserve">для участников торгов ПАО Московская Биржа, </w:t>
    </w:r>
    <w:proofErr w:type="gramStart"/>
    <w:r w:rsidRPr="00F4386C">
      <w:t>участников  клиринга</w:t>
    </w:r>
    <w:proofErr w:type="gramEnd"/>
    <w:r w:rsidRPr="00F4386C">
      <w:t xml:space="preserve">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492A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0E16"/>
    <w:rsid w:val="001E7DF2"/>
    <w:rsid w:val="001F1297"/>
    <w:rsid w:val="001F567A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81CFE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56CB7"/>
    <w:rsid w:val="00387222"/>
    <w:rsid w:val="003924CE"/>
    <w:rsid w:val="003B1764"/>
    <w:rsid w:val="003B3B6D"/>
    <w:rsid w:val="003C57C6"/>
    <w:rsid w:val="003D3ADB"/>
    <w:rsid w:val="003F1F8B"/>
    <w:rsid w:val="004162D4"/>
    <w:rsid w:val="00427065"/>
    <w:rsid w:val="00436E95"/>
    <w:rsid w:val="00444732"/>
    <w:rsid w:val="00454F75"/>
    <w:rsid w:val="00456CF3"/>
    <w:rsid w:val="0045797E"/>
    <w:rsid w:val="00460655"/>
    <w:rsid w:val="00486AE7"/>
    <w:rsid w:val="004927BF"/>
    <w:rsid w:val="004A0BD4"/>
    <w:rsid w:val="004B340F"/>
    <w:rsid w:val="004C531D"/>
    <w:rsid w:val="004D3F65"/>
    <w:rsid w:val="004F72E6"/>
    <w:rsid w:val="005030FF"/>
    <w:rsid w:val="005079CF"/>
    <w:rsid w:val="00515F99"/>
    <w:rsid w:val="005418D3"/>
    <w:rsid w:val="005708EC"/>
    <w:rsid w:val="00587058"/>
    <w:rsid w:val="00593A16"/>
    <w:rsid w:val="00594905"/>
    <w:rsid w:val="005C47E1"/>
    <w:rsid w:val="005F013E"/>
    <w:rsid w:val="0061144F"/>
    <w:rsid w:val="00623905"/>
    <w:rsid w:val="006512F9"/>
    <w:rsid w:val="006A7CDF"/>
    <w:rsid w:val="006B7C05"/>
    <w:rsid w:val="006C2CC5"/>
    <w:rsid w:val="006E2A6D"/>
    <w:rsid w:val="006F22FC"/>
    <w:rsid w:val="006F2375"/>
    <w:rsid w:val="007124E7"/>
    <w:rsid w:val="00712FFD"/>
    <w:rsid w:val="0073799A"/>
    <w:rsid w:val="007456D8"/>
    <w:rsid w:val="00750A44"/>
    <w:rsid w:val="00756EFF"/>
    <w:rsid w:val="00772F64"/>
    <w:rsid w:val="007A6771"/>
    <w:rsid w:val="007B164C"/>
    <w:rsid w:val="007F08A8"/>
    <w:rsid w:val="007F4ACB"/>
    <w:rsid w:val="00807259"/>
    <w:rsid w:val="00812F36"/>
    <w:rsid w:val="00850560"/>
    <w:rsid w:val="008540D0"/>
    <w:rsid w:val="00890B09"/>
    <w:rsid w:val="008B165A"/>
    <w:rsid w:val="008D1CAA"/>
    <w:rsid w:val="008E2E21"/>
    <w:rsid w:val="00913469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1D37"/>
    <w:rsid w:val="00B52C27"/>
    <w:rsid w:val="00B56045"/>
    <w:rsid w:val="00B62676"/>
    <w:rsid w:val="00B71D72"/>
    <w:rsid w:val="00B77424"/>
    <w:rsid w:val="00B87F95"/>
    <w:rsid w:val="00BB7538"/>
    <w:rsid w:val="00BB75F8"/>
    <w:rsid w:val="00C0095C"/>
    <w:rsid w:val="00C11805"/>
    <w:rsid w:val="00C23CAA"/>
    <w:rsid w:val="00C26C17"/>
    <w:rsid w:val="00C46FDD"/>
    <w:rsid w:val="00C554AA"/>
    <w:rsid w:val="00C761A5"/>
    <w:rsid w:val="00C83C6D"/>
    <w:rsid w:val="00C878B5"/>
    <w:rsid w:val="00CA0DE8"/>
    <w:rsid w:val="00CA3FD8"/>
    <w:rsid w:val="00CC1444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73027"/>
    <w:rsid w:val="00D87236"/>
    <w:rsid w:val="00D87AD7"/>
    <w:rsid w:val="00D93136"/>
    <w:rsid w:val="00DA68B5"/>
    <w:rsid w:val="00DC4AB9"/>
    <w:rsid w:val="00DE248F"/>
    <w:rsid w:val="00DE3B34"/>
    <w:rsid w:val="00E17835"/>
    <w:rsid w:val="00E2702A"/>
    <w:rsid w:val="00E5455C"/>
    <w:rsid w:val="00E64B1D"/>
    <w:rsid w:val="00E80133"/>
    <w:rsid w:val="00EC4AF9"/>
    <w:rsid w:val="00EC7AEF"/>
    <w:rsid w:val="00EF4033"/>
    <w:rsid w:val="00F17045"/>
    <w:rsid w:val="00F426E6"/>
    <w:rsid w:val="00F436AB"/>
    <w:rsid w:val="00F4386C"/>
    <w:rsid w:val="00F5115C"/>
    <w:rsid w:val="00F52C67"/>
    <w:rsid w:val="00F5434F"/>
    <w:rsid w:val="00F6297C"/>
    <w:rsid w:val="00F77CE2"/>
    <w:rsid w:val="00F8049D"/>
    <w:rsid w:val="00F85EE1"/>
    <w:rsid w:val="00F93A57"/>
    <w:rsid w:val="00F97180"/>
    <w:rsid w:val="00FC7139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386C"/>
  </w:style>
  <w:style w:type="paragraph" w:styleId="af0">
    <w:name w:val="footer"/>
    <w:basedOn w:val="a"/>
    <w:link w:val="af1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7</cp:revision>
  <cp:lastPrinted>2019-08-23T06:47:00Z</cp:lastPrinted>
  <dcterms:created xsi:type="dcterms:W3CDTF">2022-12-20T08:54:00Z</dcterms:created>
  <dcterms:modified xsi:type="dcterms:W3CDTF">2022-12-21T12:08:00Z</dcterms:modified>
</cp:coreProperties>
</file>