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31" w:rsidRPr="004C48F9" w:rsidRDefault="00C93331" w:rsidP="000D60BD">
      <w:pPr>
        <w:jc w:val="right"/>
        <w:rPr>
          <w:rFonts w:ascii="Arial" w:hAnsi="Arial" w:cs="Arial"/>
          <w:sz w:val="20"/>
          <w:szCs w:val="20"/>
          <w:lang w:val="en-US"/>
        </w:rPr>
      </w:pPr>
      <w:r>
        <w:rPr>
          <w:rFonts w:ascii="Arial" w:hAnsi="Arial" w:cs="Arial"/>
          <w:sz w:val="20"/>
          <w:szCs w:val="20"/>
          <w:lang w:val="en-US"/>
        </w:rPr>
        <w:t>Appendix No</w:t>
      </w:r>
      <w:r w:rsidRPr="004C48F9">
        <w:rPr>
          <w:rFonts w:ascii="Arial" w:hAnsi="Arial" w:cs="Arial"/>
          <w:sz w:val="20"/>
          <w:szCs w:val="20"/>
          <w:lang w:val="en-US"/>
        </w:rPr>
        <w:t>. 2</w:t>
      </w:r>
    </w:p>
    <w:p w:rsidR="00C93331" w:rsidRPr="00B906AD" w:rsidRDefault="00C93331" w:rsidP="00B906AD">
      <w:pPr>
        <w:pStyle w:val="BodyText"/>
        <w:keepNext/>
        <w:widowControl w:val="0"/>
        <w:ind w:right="11" w:hanging="180"/>
        <w:jc w:val="right"/>
        <w:rPr>
          <w:b w:val="0"/>
          <w:lang w:val="en-US"/>
        </w:rPr>
      </w:pPr>
      <w:r>
        <w:rPr>
          <w:b w:val="0"/>
          <w:bCs w:val="0"/>
          <w:lang w:val="en-US"/>
        </w:rPr>
        <w:t>to the R</w:t>
      </w:r>
      <w:r w:rsidRPr="00F10A17">
        <w:rPr>
          <w:b w:val="0"/>
          <w:bCs w:val="0"/>
          <w:lang w:val="en-US"/>
        </w:rPr>
        <w:t xml:space="preserve">ules of </w:t>
      </w:r>
      <w:r w:rsidRPr="00B906AD">
        <w:rPr>
          <w:b w:val="0"/>
          <w:lang w:val="en-US"/>
        </w:rPr>
        <w:t xml:space="preserve">Executing Derivatives Trades </w:t>
      </w:r>
      <w:r>
        <w:rPr>
          <w:b w:val="0"/>
          <w:lang w:val="en-US"/>
        </w:rPr>
        <w:br/>
        <w:t>o</w:t>
      </w:r>
      <w:r w:rsidRPr="00B906AD">
        <w:rPr>
          <w:b w:val="0"/>
          <w:lang w:val="en-US"/>
        </w:rPr>
        <w:t xml:space="preserve">n Derivatives Market </w:t>
      </w:r>
      <w:r>
        <w:rPr>
          <w:b w:val="0"/>
          <w:lang w:val="en-US"/>
        </w:rPr>
        <w:t>o</w:t>
      </w:r>
      <w:r w:rsidRPr="00B906AD">
        <w:rPr>
          <w:b w:val="0"/>
          <w:lang w:val="en-US"/>
        </w:rPr>
        <w:t xml:space="preserve">f </w:t>
      </w:r>
      <w:r>
        <w:rPr>
          <w:b w:val="0"/>
          <w:lang w:val="en-US"/>
        </w:rPr>
        <w:t>t</w:t>
      </w:r>
      <w:r w:rsidRPr="00B906AD">
        <w:rPr>
          <w:b w:val="0"/>
          <w:lang w:val="en-US"/>
        </w:rPr>
        <w:t>he Moscow Exchange</w:t>
      </w:r>
    </w:p>
    <w:p w:rsidR="00C93331" w:rsidRPr="00F10A17" w:rsidRDefault="00C93331" w:rsidP="00B906AD">
      <w:pPr>
        <w:pStyle w:val="BodyText"/>
        <w:keepNext/>
        <w:widowControl w:val="0"/>
        <w:ind w:right="11" w:hanging="180"/>
        <w:jc w:val="right"/>
        <w:rPr>
          <w:b w:val="0"/>
          <w:bCs w:val="0"/>
          <w:lang w:val="en-US"/>
        </w:rPr>
      </w:pPr>
      <w:r w:rsidRPr="00F10A17">
        <w:rPr>
          <w:b w:val="0"/>
          <w:bCs w:val="0"/>
          <w:lang w:val="en-US"/>
        </w:rPr>
        <w:t xml:space="preserve">(Derivatives Rules of </w:t>
      </w:r>
      <w:r>
        <w:rPr>
          <w:b w:val="0"/>
          <w:bCs w:val="0"/>
          <w:lang w:val="en-US"/>
        </w:rPr>
        <w:t>the Moscow Exchange</w:t>
      </w:r>
      <w:r w:rsidRPr="00F10A17">
        <w:rPr>
          <w:b w:val="0"/>
          <w:bCs w:val="0"/>
          <w:lang w:val="en-US"/>
        </w:rPr>
        <w:t>)</w:t>
      </w:r>
    </w:p>
    <w:p w:rsidR="00C93331" w:rsidRDefault="00C93331" w:rsidP="000D60BD">
      <w:pPr>
        <w:pStyle w:val="BodyText"/>
        <w:keepNext/>
        <w:widowControl w:val="0"/>
        <w:ind w:left="708" w:right="11" w:firstLine="708"/>
        <w:jc w:val="right"/>
        <w:rPr>
          <w:b w:val="0"/>
          <w:bCs w:val="0"/>
          <w:lang w:val="en-US"/>
        </w:rPr>
      </w:pPr>
    </w:p>
    <w:p w:rsidR="00C93331" w:rsidRPr="004C48F9" w:rsidRDefault="00C93331" w:rsidP="000D60BD">
      <w:pPr>
        <w:jc w:val="right"/>
        <w:rPr>
          <w:rFonts w:ascii="Arial" w:hAnsi="Arial" w:cs="Arial"/>
          <w:sz w:val="20"/>
          <w:szCs w:val="20"/>
          <w:lang w:val="en-US"/>
        </w:rPr>
      </w:pPr>
    </w:p>
    <w:p w:rsidR="00C93331" w:rsidRPr="002A2291" w:rsidRDefault="00C93331" w:rsidP="000D60BD">
      <w:pPr>
        <w:pStyle w:val="NormalWeb"/>
        <w:spacing w:before="240"/>
        <w:ind w:right="-79"/>
        <w:jc w:val="center"/>
        <w:rPr>
          <w:rFonts w:ascii="Arial" w:hAnsi="Arial" w:cs="Arial"/>
          <w:b/>
          <w:bCs/>
          <w:sz w:val="20"/>
          <w:lang w:val="en-US"/>
        </w:rPr>
      </w:pPr>
      <w:r w:rsidRPr="0093104C">
        <w:rPr>
          <w:rFonts w:ascii="Arial" w:hAnsi="Arial" w:cs="Arial"/>
          <w:b/>
          <w:bCs/>
          <w:sz w:val="20"/>
          <w:szCs w:val="20"/>
          <w:lang w:val="en-US"/>
        </w:rPr>
        <w:t>METHOD</w:t>
      </w:r>
      <w:r>
        <w:rPr>
          <w:rFonts w:ascii="Arial" w:hAnsi="Arial" w:cs="Arial"/>
          <w:b/>
          <w:bCs/>
          <w:sz w:val="20"/>
          <w:szCs w:val="20"/>
          <w:lang w:val="en-US"/>
        </w:rPr>
        <w:t>OLOGY</w:t>
      </w:r>
      <w:r w:rsidRPr="0093104C">
        <w:rPr>
          <w:rFonts w:ascii="Arial" w:hAnsi="Arial" w:cs="Arial"/>
          <w:b/>
          <w:bCs/>
          <w:sz w:val="20"/>
          <w:szCs w:val="20"/>
          <w:lang w:val="en-US"/>
        </w:rPr>
        <w:t xml:space="preserve"> </w:t>
      </w:r>
      <w:r>
        <w:rPr>
          <w:rFonts w:ascii="Arial" w:hAnsi="Arial" w:cs="Arial"/>
          <w:b/>
          <w:bCs/>
          <w:sz w:val="20"/>
          <w:szCs w:val="20"/>
          <w:lang w:val="en-US"/>
        </w:rPr>
        <w:t>FOR</w:t>
      </w:r>
      <w:r w:rsidRPr="0012784A">
        <w:rPr>
          <w:rFonts w:ascii="Arial" w:hAnsi="Arial" w:cs="Arial"/>
          <w:b/>
          <w:bCs/>
          <w:sz w:val="20"/>
          <w:szCs w:val="20"/>
          <w:lang w:val="en-US"/>
        </w:rPr>
        <w:t xml:space="preserve"> </w:t>
      </w:r>
      <w:r>
        <w:rPr>
          <w:rFonts w:ascii="Arial" w:hAnsi="Arial" w:cs="Arial"/>
          <w:b/>
          <w:bCs/>
          <w:sz w:val="20"/>
          <w:szCs w:val="20"/>
          <w:lang w:val="en-US"/>
        </w:rPr>
        <w:t>CALCULATION OF DERIVATIVES CONTRACTS’ SETTLEMENT PRICES</w:t>
      </w:r>
    </w:p>
    <w:p w:rsidR="00C93331" w:rsidRPr="002A2291" w:rsidRDefault="00C93331" w:rsidP="000D60BD">
      <w:pPr>
        <w:pStyle w:val="a0"/>
        <w:numPr>
          <w:ilvl w:val="0"/>
          <w:numId w:val="3"/>
        </w:numPr>
        <w:rPr>
          <w:rFonts w:ascii="Arial" w:hAnsi="Arial" w:cs="Arial"/>
          <w:b w:val="0"/>
          <w:bCs w:val="0"/>
          <w:lang w:val="en-US"/>
        </w:rPr>
      </w:pPr>
      <w:r>
        <w:rPr>
          <w:rFonts w:ascii="Arial" w:hAnsi="Arial" w:cs="Arial"/>
          <w:b w:val="0"/>
          <w:bCs w:val="0"/>
          <w:lang w:val="en-US"/>
        </w:rPr>
        <w:t>This m</w:t>
      </w:r>
      <w:r w:rsidRPr="0012784A">
        <w:rPr>
          <w:rFonts w:ascii="Arial" w:hAnsi="Arial" w:cs="Arial"/>
          <w:b w:val="0"/>
          <w:bCs w:val="0"/>
          <w:lang w:val="en-US"/>
        </w:rPr>
        <w:t>ethod</w:t>
      </w:r>
      <w:r>
        <w:rPr>
          <w:rFonts w:ascii="Arial" w:hAnsi="Arial" w:cs="Arial"/>
          <w:b w:val="0"/>
          <w:bCs w:val="0"/>
          <w:lang w:val="en-US"/>
        </w:rPr>
        <w:t>ology</w:t>
      </w:r>
      <w:r w:rsidRPr="0012784A">
        <w:rPr>
          <w:rFonts w:ascii="Arial" w:hAnsi="Arial" w:cs="Arial"/>
          <w:b w:val="0"/>
          <w:bCs w:val="0"/>
          <w:lang w:val="en-US"/>
        </w:rPr>
        <w:t xml:space="preserve"> shall establish the procedure for </w:t>
      </w:r>
      <w:r>
        <w:rPr>
          <w:rFonts w:ascii="Arial" w:hAnsi="Arial" w:cs="Arial"/>
          <w:b w:val="0"/>
          <w:bCs w:val="0"/>
          <w:lang w:val="en-US"/>
        </w:rPr>
        <w:t>calculation of</w:t>
      </w:r>
      <w:r w:rsidRPr="0012784A">
        <w:rPr>
          <w:rFonts w:ascii="Arial" w:hAnsi="Arial" w:cs="Arial"/>
          <w:b w:val="0"/>
          <w:bCs w:val="0"/>
          <w:lang w:val="en-US"/>
        </w:rPr>
        <w:t xml:space="preserve"> settlement prices of derivatives contracts</w:t>
      </w:r>
      <w:r>
        <w:rPr>
          <w:rFonts w:ascii="Arial" w:hAnsi="Arial" w:cs="Arial"/>
          <w:b w:val="0"/>
          <w:bCs w:val="0"/>
          <w:lang w:val="en-US"/>
        </w:rPr>
        <w:t>.</w:t>
      </w:r>
    </w:p>
    <w:p w:rsidR="00C93331" w:rsidRDefault="00C93331" w:rsidP="000D60BD">
      <w:pPr>
        <w:pStyle w:val="a0"/>
        <w:numPr>
          <w:ilvl w:val="0"/>
          <w:numId w:val="3"/>
        </w:numPr>
        <w:rPr>
          <w:rFonts w:ascii="Arial" w:hAnsi="Arial" w:cs="Arial"/>
          <w:b w:val="0"/>
          <w:bCs w:val="0"/>
          <w:lang w:val="en-US"/>
        </w:rPr>
      </w:pPr>
      <w:r>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C93331" w:rsidRDefault="00C93331" w:rsidP="000D60BD">
      <w:pPr>
        <w:pStyle w:val="a0"/>
        <w:numPr>
          <w:ilvl w:val="0"/>
          <w:numId w:val="3"/>
        </w:numPr>
        <w:rPr>
          <w:rFonts w:ascii="Arial" w:hAnsi="Arial" w:cs="Arial"/>
          <w:b w:val="0"/>
          <w:bCs w:val="0"/>
          <w:lang w:val="en-US"/>
        </w:rPr>
      </w:pPr>
      <w:r>
        <w:rPr>
          <w:rFonts w:ascii="Arial" w:hAnsi="Arial" w:cs="Arial"/>
          <w:b w:val="0"/>
          <w:bCs w:val="0"/>
          <w:lang w:val="en-US"/>
        </w:rPr>
        <w:t xml:space="preserve">Settlement prices of derivatives contracts shall be calculated </w:t>
      </w:r>
      <w:r w:rsidRPr="00E66216">
        <w:rPr>
          <w:rFonts w:ascii="Arial" w:hAnsi="Arial" w:cs="Arial"/>
          <w:b w:val="0"/>
          <w:bCs w:val="0"/>
          <w:lang w:val="en-US"/>
        </w:rPr>
        <w:t>based on the results of</w:t>
      </w:r>
      <w:r w:rsidRPr="00E66216" w:rsidDel="00E66216">
        <w:rPr>
          <w:rFonts w:ascii="Arial" w:hAnsi="Arial" w:cs="Arial"/>
          <w:b w:val="0"/>
          <w:bCs w:val="0"/>
          <w:lang w:val="en-US"/>
        </w:rPr>
        <w:t xml:space="preserve"> </w:t>
      </w:r>
      <w:r>
        <w:rPr>
          <w:rFonts w:ascii="Arial" w:hAnsi="Arial" w:cs="Arial"/>
          <w:b w:val="0"/>
          <w:bCs w:val="0"/>
          <w:lang w:val="en-US"/>
        </w:rPr>
        <w:t>the intraday and evening settlement periods upon completion of the corresponding settlement period</w:t>
      </w:r>
      <w:r w:rsidRPr="001007DB">
        <w:rPr>
          <w:rFonts w:ascii="Arial" w:hAnsi="Arial" w:cs="Arial"/>
          <w:b w:val="0"/>
          <w:bCs w:val="0"/>
          <w:lang w:val="en-US"/>
        </w:rPr>
        <w:t>.</w:t>
      </w:r>
    </w:p>
    <w:p w:rsidR="00C93331" w:rsidRPr="001007DB" w:rsidRDefault="00C93331" w:rsidP="000D60BD">
      <w:pPr>
        <w:pStyle w:val="a0"/>
        <w:numPr>
          <w:ilvl w:val="0"/>
          <w:numId w:val="3"/>
        </w:numPr>
        <w:rPr>
          <w:rFonts w:ascii="Arial" w:hAnsi="Arial" w:cs="Arial"/>
          <w:b w:val="0"/>
          <w:bCs w:val="0"/>
          <w:lang w:val="en-US"/>
        </w:rPr>
      </w:pPr>
      <w:r>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C93331" w:rsidRPr="001007DB" w:rsidRDefault="00C93331" w:rsidP="000D60BD">
      <w:pPr>
        <w:pStyle w:val="a0"/>
        <w:numPr>
          <w:ilvl w:val="0"/>
          <w:numId w:val="3"/>
        </w:numPr>
        <w:rPr>
          <w:rFonts w:ascii="Arial" w:hAnsi="Arial" w:cs="Arial"/>
          <w:b w:val="0"/>
          <w:bCs w:val="0"/>
          <w:lang w:val="en-US"/>
        </w:rPr>
      </w:pPr>
      <w:r>
        <w:rPr>
          <w:rFonts w:ascii="Arial" w:hAnsi="Arial" w:cs="Arial"/>
          <w:b w:val="0"/>
          <w:bCs w:val="0"/>
          <w:lang w:val="en-US"/>
        </w:rPr>
        <w:t>On</w:t>
      </w:r>
      <w:r w:rsidRPr="001007DB">
        <w:rPr>
          <w:rFonts w:ascii="Arial" w:hAnsi="Arial" w:cs="Arial"/>
          <w:b w:val="0"/>
          <w:bCs w:val="0"/>
          <w:lang w:val="en-US"/>
        </w:rPr>
        <w:t xml:space="preserve"> </w:t>
      </w:r>
      <w:r>
        <w:rPr>
          <w:rFonts w:ascii="Arial" w:hAnsi="Arial" w:cs="Arial"/>
          <w:b w:val="0"/>
          <w:bCs w:val="0"/>
          <w:lang w:val="en-US"/>
        </w:rPr>
        <w:t>the</w:t>
      </w:r>
      <w:r w:rsidRPr="001007DB">
        <w:rPr>
          <w:rFonts w:ascii="Arial" w:hAnsi="Arial" w:cs="Arial"/>
          <w:b w:val="0"/>
          <w:bCs w:val="0"/>
          <w:lang w:val="en-US"/>
        </w:rPr>
        <w:t xml:space="preserve"> </w:t>
      </w:r>
      <w:r>
        <w:rPr>
          <w:rFonts w:ascii="Arial" w:hAnsi="Arial" w:cs="Arial"/>
          <w:b w:val="0"/>
          <w:bCs w:val="0"/>
          <w:lang w:val="en-US"/>
        </w:rPr>
        <w:t>first</w:t>
      </w:r>
      <w:r w:rsidRPr="001007DB">
        <w:rPr>
          <w:rFonts w:ascii="Arial" w:hAnsi="Arial" w:cs="Arial"/>
          <w:b w:val="0"/>
          <w:bCs w:val="0"/>
          <w:lang w:val="en-US"/>
        </w:rPr>
        <w:t xml:space="preserve"> </w:t>
      </w:r>
      <w:r>
        <w:rPr>
          <w:rFonts w:ascii="Arial" w:hAnsi="Arial" w:cs="Arial"/>
          <w:b w:val="0"/>
          <w:bCs w:val="0"/>
          <w:lang w:val="en-US"/>
        </w:rPr>
        <w:t>trading</w:t>
      </w:r>
      <w:r w:rsidRPr="001007DB">
        <w:rPr>
          <w:rFonts w:ascii="Arial" w:hAnsi="Arial" w:cs="Arial"/>
          <w:b w:val="0"/>
          <w:bCs w:val="0"/>
          <w:lang w:val="en-US"/>
        </w:rPr>
        <w:t xml:space="preserve"> </w:t>
      </w:r>
      <w:r>
        <w:rPr>
          <w:rFonts w:ascii="Arial" w:hAnsi="Arial" w:cs="Arial"/>
          <w:b w:val="0"/>
          <w:bCs w:val="0"/>
          <w:lang w:val="en-US"/>
        </w:rPr>
        <w:t>day</w:t>
      </w:r>
      <w:r w:rsidRPr="001007DB">
        <w:rPr>
          <w:rFonts w:ascii="Arial" w:hAnsi="Arial" w:cs="Arial"/>
          <w:b w:val="0"/>
          <w:bCs w:val="0"/>
          <w:lang w:val="en-US"/>
        </w:rPr>
        <w:t xml:space="preserve"> </w:t>
      </w:r>
      <w:r>
        <w:rPr>
          <w:rFonts w:ascii="Arial" w:hAnsi="Arial" w:cs="Arial"/>
          <w:b w:val="0"/>
          <w:bCs w:val="0"/>
          <w:lang w:val="en-US"/>
        </w:rPr>
        <w:t>during</w:t>
      </w:r>
      <w:r w:rsidRPr="001007DB">
        <w:rPr>
          <w:rFonts w:ascii="Arial" w:hAnsi="Arial" w:cs="Arial"/>
          <w:b w:val="0"/>
          <w:bCs w:val="0"/>
          <w:lang w:val="en-US"/>
        </w:rPr>
        <w:t xml:space="preserve"> </w:t>
      </w:r>
      <w:r>
        <w:rPr>
          <w:rFonts w:ascii="Arial" w:hAnsi="Arial" w:cs="Arial"/>
          <w:b w:val="0"/>
          <w:bCs w:val="0"/>
          <w:lang w:val="en-US"/>
        </w:rPr>
        <w:t>which a derivatives contract may trade the settlement price of this contract shall be established by the resolution of the chief executive officer of the Exchange.</w:t>
      </w:r>
    </w:p>
    <w:p w:rsidR="00C93331" w:rsidRDefault="00C93331" w:rsidP="000D60BD">
      <w:pPr>
        <w:pStyle w:val="a0"/>
        <w:numPr>
          <w:ilvl w:val="0"/>
          <w:numId w:val="3"/>
        </w:numPr>
        <w:rPr>
          <w:rFonts w:ascii="Arial" w:hAnsi="Arial" w:cs="Arial"/>
          <w:b w:val="0"/>
          <w:bCs w:val="0"/>
          <w:lang w:val="en-US"/>
        </w:rPr>
      </w:pPr>
      <w:r>
        <w:rPr>
          <w:rFonts w:ascii="Arial" w:hAnsi="Arial" w:cs="Arial"/>
          <w:b w:val="0"/>
          <w:bCs w:val="0"/>
          <w:lang w:val="en-US"/>
        </w:rPr>
        <w:t>Provided that there are no positions opened in the futures contract as a result of the previous settlement period the Exchange shall be entitled to set a random settlement price for such futures contract.</w:t>
      </w:r>
    </w:p>
    <w:p w:rsidR="00C93331" w:rsidRPr="00AD274E" w:rsidRDefault="00C93331" w:rsidP="000D60BD">
      <w:pPr>
        <w:pStyle w:val="a0"/>
        <w:numPr>
          <w:ilvl w:val="0"/>
          <w:numId w:val="3"/>
        </w:numPr>
        <w:rPr>
          <w:rFonts w:ascii="Arial" w:hAnsi="Arial" w:cs="Arial"/>
          <w:b w:val="0"/>
          <w:bCs w:val="0"/>
          <w:lang w:val="en-US"/>
        </w:rPr>
      </w:pPr>
      <w:r>
        <w:rPr>
          <w:rFonts w:ascii="Arial" w:hAnsi="Arial" w:cs="Arial"/>
          <w:b w:val="0"/>
          <w:bCs w:val="0"/>
          <w:lang w:val="en-US"/>
        </w:rPr>
        <w:t>Determining the settlement</w:t>
      </w:r>
      <w:bookmarkStart w:id="0" w:name="_GoBack"/>
      <w:bookmarkEnd w:id="0"/>
      <w:r>
        <w:rPr>
          <w:rFonts w:ascii="Arial" w:hAnsi="Arial" w:cs="Arial"/>
          <w:b w:val="0"/>
          <w:bCs w:val="0"/>
          <w:lang w:val="en-US"/>
        </w:rPr>
        <w:t xml:space="preserve"> price of a futures contract based on the results of the intraday settlement period if no trades executed based on indirect orders for purchase or indirect orders for sale were registered in the trades registry </w:t>
      </w:r>
      <w:r w:rsidRPr="00AD274E">
        <w:rPr>
          <w:rFonts w:ascii="Arial" w:hAnsi="Arial" w:cs="Arial"/>
          <w:b w:val="0"/>
          <w:bCs w:val="0"/>
          <w:lang w:val="en-US"/>
        </w:rPr>
        <w:t xml:space="preserve">during the </w:t>
      </w:r>
      <w:r>
        <w:rPr>
          <w:rFonts w:ascii="Arial" w:hAnsi="Arial" w:cs="Arial"/>
          <w:b w:val="0"/>
          <w:bCs w:val="0"/>
          <w:lang w:val="en-US"/>
        </w:rPr>
        <w:t>intraday settlement p</w:t>
      </w:r>
      <w:r w:rsidRPr="00AD274E">
        <w:rPr>
          <w:rFonts w:ascii="Arial" w:hAnsi="Arial" w:cs="Arial"/>
          <w:b w:val="0"/>
          <w:bCs w:val="0"/>
          <w:lang w:val="en-US"/>
        </w:rPr>
        <w:t>eriod.</w:t>
      </w:r>
    </w:p>
    <w:p w:rsidR="00C93331" w:rsidRPr="00AC6C49" w:rsidRDefault="00C93331" w:rsidP="000D60BD">
      <w:pPr>
        <w:pStyle w:val="a"/>
        <w:numPr>
          <w:ilvl w:val="1"/>
          <w:numId w:val="3"/>
        </w:numPr>
        <w:rPr>
          <w:rFonts w:ascii="Arial" w:hAnsi="Arial" w:cs="Arial"/>
          <w:lang w:val="en-US"/>
        </w:rPr>
      </w:pPr>
      <w:bookmarkStart w:id="1" w:name="_Ref72924123"/>
      <w:r>
        <w:rPr>
          <w:rFonts w:ascii="Arial" w:hAnsi="Arial" w:cs="Arial"/>
          <w:lang w:val="en-US"/>
        </w:rPr>
        <w:t>if during the current trading day before the start of the intraday settlement period there were indirect trades registered in the registry of trades:</w:t>
      </w:r>
    </w:p>
    <w:p w:rsidR="00C93331" w:rsidRPr="00192960" w:rsidRDefault="00C93331" w:rsidP="000D60BD">
      <w:pPr>
        <w:pStyle w:val="a"/>
        <w:numPr>
          <w:ilvl w:val="2"/>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 7.1.2 herein.</w:t>
      </w:r>
    </w:p>
    <w:p w:rsidR="00C93331" w:rsidRPr="00C65608" w:rsidRDefault="00C93331" w:rsidP="000D60BD">
      <w:pPr>
        <w:pStyle w:val="a"/>
        <w:numPr>
          <w:ilvl w:val="2"/>
          <w:numId w:val="3"/>
        </w:numPr>
        <w:rPr>
          <w:rFonts w:ascii="Arial" w:hAnsi="Arial" w:cs="Arial"/>
          <w:lang w:val="en-US"/>
        </w:rPr>
      </w:pPr>
      <w:r>
        <w:rPr>
          <w:rFonts w:cs="Arial"/>
          <w:lang w:val="en-US"/>
        </w:rPr>
        <w:t>If</w:t>
      </w:r>
      <w:r w:rsidRPr="00F86CC5">
        <w:rPr>
          <w:rFonts w:cs="Arial"/>
          <w:lang w:val="en-US"/>
        </w:rPr>
        <w:t xml:space="preserve"> </w:t>
      </w:r>
      <w:r>
        <w:rPr>
          <w:rFonts w:cs="Arial"/>
          <w:lang w:val="en-US"/>
        </w:rPr>
        <w:t>at</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end</w:t>
      </w:r>
      <w:r w:rsidRPr="00F86CC5">
        <w:rPr>
          <w:rFonts w:cs="Arial"/>
          <w:lang w:val="en-US"/>
        </w:rPr>
        <w:t xml:space="preserve"> </w:t>
      </w:r>
      <w:r>
        <w:rPr>
          <w:rFonts w:cs="Arial"/>
          <w:lang w:val="en-US"/>
        </w:rPr>
        <w:t>of</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intraday settlement</w:t>
      </w:r>
      <w:r w:rsidRPr="00F86CC5">
        <w:rPr>
          <w:rFonts w:cs="Arial"/>
          <w:lang w:val="en-US"/>
        </w:rPr>
        <w:t xml:space="preserve"> </w:t>
      </w:r>
      <w:r>
        <w:rPr>
          <w:rFonts w:cs="Arial"/>
          <w:lang w:val="en-US"/>
        </w:rPr>
        <w:t>period</w:t>
      </w:r>
      <w:r w:rsidRPr="00F86CC5">
        <w:rPr>
          <w:rFonts w:cs="Arial"/>
          <w:lang w:val="en-US"/>
        </w:rPr>
        <w:t xml:space="preserve"> </w:t>
      </w:r>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r w:rsidRPr="00C65608">
        <w:rPr>
          <w:rFonts w:ascii="Arial" w:hAnsi="Arial" w:cs="Arial"/>
          <w:lang w:val="en-US"/>
        </w:rPr>
        <w:t>.</w:t>
      </w:r>
      <w:bookmarkEnd w:id="1"/>
    </w:p>
    <w:p w:rsidR="00C93331" w:rsidRDefault="00C93331" w:rsidP="000D60BD">
      <w:pPr>
        <w:pStyle w:val="a"/>
        <w:numPr>
          <w:ilvl w:val="1"/>
          <w:numId w:val="3"/>
        </w:numPr>
        <w:rPr>
          <w:rFonts w:ascii="Arial" w:hAnsi="Arial" w:cs="Arial"/>
          <w:lang w:val="en-US"/>
        </w:rPr>
      </w:pPr>
      <w:bookmarkStart w:id="2" w:name="_Ref72924133"/>
      <w:r>
        <w:rPr>
          <w:rFonts w:ascii="Arial" w:hAnsi="Arial" w:cs="Arial"/>
          <w:lang w:val="en-US"/>
        </w:rPr>
        <w:t>If during the current trading day before the start of the intraday settlement period there were no indirect trades registered in the registry of trades:</w:t>
      </w:r>
    </w:p>
    <w:p w:rsidR="00C93331" w:rsidRDefault="00C93331" w:rsidP="000D60BD">
      <w:pPr>
        <w:pStyle w:val="a"/>
        <w:numPr>
          <w:ilvl w:val="2"/>
          <w:numId w:val="3"/>
        </w:numPr>
        <w:rPr>
          <w:rFonts w:ascii="Arial" w:hAnsi="Arial" w:cs="Arial"/>
          <w:lang w:val="en-US"/>
        </w:rPr>
      </w:pPr>
      <w:r>
        <w:rPr>
          <w:rFonts w:ascii="Arial" w:hAnsi="Arial" w:cs="Arial"/>
          <w:lang w:val="en-US"/>
        </w:rPr>
        <w:t>If</w:t>
      </w:r>
      <w:r w:rsidRPr="00F228FD">
        <w:rPr>
          <w:rFonts w:ascii="Arial" w:hAnsi="Arial" w:cs="Arial"/>
          <w:lang w:val="en-US"/>
        </w:rPr>
        <w:t xml:space="preserve"> </w:t>
      </w:r>
      <w:r>
        <w:rPr>
          <w:rFonts w:ascii="Arial" w:hAnsi="Arial" w:cs="Arial"/>
          <w:lang w:val="en-US"/>
        </w:rPr>
        <w:t>at</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end</w:t>
      </w:r>
      <w:r w:rsidRPr="00F228FD">
        <w:rPr>
          <w:rFonts w:ascii="Arial" w:hAnsi="Arial" w:cs="Arial"/>
          <w:lang w:val="en-US"/>
        </w:rPr>
        <w:t xml:space="preserve"> </w:t>
      </w:r>
      <w:r>
        <w:rPr>
          <w:rFonts w:ascii="Arial" w:hAnsi="Arial" w:cs="Arial"/>
          <w:lang w:val="en-US"/>
        </w:rPr>
        <w:t>of</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intraday settlement</w:t>
      </w:r>
      <w:r w:rsidRPr="00F228FD">
        <w:rPr>
          <w:rFonts w:ascii="Arial" w:hAnsi="Arial" w:cs="Arial"/>
          <w:lang w:val="en-US"/>
        </w:rPr>
        <w:t xml:space="preserve"> </w:t>
      </w:r>
      <w:r>
        <w:rPr>
          <w:rFonts w:ascii="Arial" w:hAnsi="Arial" w:cs="Arial"/>
          <w:lang w:val="en-US"/>
        </w:rPr>
        <w:t>period</w:t>
      </w:r>
      <w:r w:rsidRPr="00F228FD">
        <w:rPr>
          <w:rFonts w:ascii="Arial" w:hAnsi="Arial" w:cs="Arial"/>
          <w:lang w:val="en-US"/>
        </w:rPr>
        <w:t xml:space="preserve"> </w:t>
      </w:r>
      <w:r>
        <w:rPr>
          <w:rFonts w:ascii="Arial" w:hAnsi="Arial" w:cs="Arial"/>
          <w:lang w:val="en-US"/>
        </w:rPr>
        <w:t>there</w:t>
      </w:r>
      <w:r w:rsidRPr="00F228FD">
        <w:rPr>
          <w:rFonts w:ascii="Arial" w:hAnsi="Arial" w:cs="Arial"/>
          <w:lang w:val="en-US"/>
        </w:rPr>
        <w:t xml:space="preserve"> </w:t>
      </w:r>
      <w:r>
        <w:rPr>
          <w:rFonts w:ascii="Arial" w:hAnsi="Arial" w:cs="Arial"/>
          <w:lang w:val="en-US"/>
        </w:rPr>
        <w:t>are</w:t>
      </w:r>
      <w:r w:rsidRPr="00F228FD">
        <w:rPr>
          <w:rFonts w:ascii="Arial" w:hAnsi="Arial" w:cs="Arial"/>
          <w:lang w:val="en-US"/>
        </w:rPr>
        <w:t xml:space="preserve"> </w:t>
      </w:r>
      <w:r>
        <w:rPr>
          <w:rFonts w:ascii="Arial" w:hAnsi="Arial" w:cs="Arial"/>
          <w:lang w:val="en-US"/>
        </w:rPr>
        <w:t>active buy</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this futures contract in the orders registry whose price exceeds the previous settlement price of this futures contract provided that there are no active sell</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C93331" w:rsidRDefault="00C93331" w:rsidP="000D60BD">
      <w:pPr>
        <w:pStyle w:val="a"/>
        <w:numPr>
          <w:ilvl w:val="2"/>
          <w:numId w:val="3"/>
        </w:numPr>
        <w:rPr>
          <w:rFonts w:ascii="Arial" w:hAnsi="Arial" w:cs="Arial"/>
          <w:lang w:val="en-US"/>
        </w:rPr>
      </w:pPr>
      <w:r>
        <w:rPr>
          <w:rFonts w:ascii="Arial" w:hAnsi="Arial" w:cs="Arial"/>
          <w:lang w:val="en-US"/>
        </w:rPr>
        <w:t>If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Default="00C93331" w:rsidP="000D60BD">
      <w:pPr>
        <w:pStyle w:val="a"/>
        <w:numPr>
          <w:ilvl w:val="2"/>
          <w:numId w:val="3"/>
        </w:numPr>
        <w:rPr>
          <w:rFonts w:ascii="Arial" w:hAnsi="Arial" w:cs="Arial"/>
          <w:lang w:val="en-US"/>
        </w:rPr>
      </w:pPr>
      <w:r>
        <w:rPr>
          <w:rFonts w:ascii="Arial" w:hAnsi="Arial" w:cs="Arial"/>
          <w:lang w:val="en-US"/>
        </w:rPr>
        <w:t>Otherwise the settlement price of the given futures contract shall be equal to its previous settlement price.</w:t>
      </w:r>
    </w:p>
    <w:p w:rsidR="00C93331" w:rsidRDefault="00C93331" w:rsidP="000D60BD">
      <w:pPr>
        <w:pStyle w:val="a0"/>
        <w:numPr>
          <w:ilvl w:val="0"/>
          <w:numId w:val="3"/>
        </w:numPr>
        <w:rPr>
          <w:rFonts w:ascii="Arial" w:hAnsi="Arial" w:cs="Arial"/>
          <w:lang w:val="en-US"/>
        </w:rPr>
      </w:pPr>
      <w:r>
        <w:rPr>
          <w:rFonts w:ascii="Arial" w:hAnsi="Arial" w:cs="Arial"/>
          <w:b w:val="0"/>
          <w:bCs w:val="0"/>
          <w:lang w:val="en-US"/>
        </w:rPr>
        <w:t xml:space="preserve">Determining the settlement price of a futures contract based on the results of the evening settlement period if no indirect trades in this futures contract were registered in the trades registry </w:t>
      </w:r>
      <w:r w:rsidRPr="00AD274E">
        <w:rPr>
          <w:rFonts w:ascii="Arial" w:hAnsi="Arial" w:cs="Arial"/>
          <w:b w:val="0"/>
          <w:bCs w:val="0"/>
          <w:lang w:val="en-US"/>
        </w:rPr>
        <w:t xml:space="preserve">during the </w:t>
      </w:r>
      <w:r>
        <w:rPr>
          <w:rFonts w:ascii="Arial" w:hAnsi="Arial" w:cs="Arial"/>
          <w:b w:val="0"/>
          <w:bCs w:val="0"/>
          <w:lang w:val="en-US"/>
        </w:rPr>
        <w:t>evening settlement p</w:t>
      </w:r>
      <w:r w:rsidRPr="00AD274E">
        <w:rPr>
          <w:rFonts w:ascii="Arial" w:hAnsi="Arial" w:cs="Arial"/>
          <w:b w:val="0"/>
          <w:bCs w:val="0"/>
          <w:lang w:val="en-US"/>
        </w:rPr>
        <w:t>eriod.</w:t>
      </w:r>
    </w:p>
    <w:p w:rsidR="00C93331" w:rsidRDefault="00C93331" w:rsidP="000D60BD">
      <w:pPr>
        <w:pStyle w:val="a"/>
        <w:numPr>
          <w:ilvl w:val="1"/>
          <w:numId w:val="3"/>
        </w:numPr>
        <w:rPr>
          <w:rFonts w:ascii="Arial" w:hAnsi="Arial" w:cs="Arial"/>
          <w:lang w:val="en-US"/>
        </w:rPr>
      </w:pPr>
      <w:r>
        <w:rPr>
          <w:rFonts w:ascii="Arial" w:hAnsi="Arial" w:cs="Arial"/>
          <w:lang w:val="en-US"/>
        </w:rPr>
        <w:t>if during the current trading day before the start of the evening settlement period there were indirect trades registered in the registry of trades:</w:t>
      </w:r>
    </w:p>
    <w:p w:rsidR="00C93331" w:rsidRDefault="00C93331" w:rsidP="000D60BD">
      <w:pPr>
        <w:pStyle w:val="a"/>
        <w:numPr>
          <w:ilvl w:val="2"/>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 8.1.2 herein.</w:t>
      </w:r>
    </w:p>
    <w:p w:rsidR="00C93331" w:rsidRDefault="00C93331" w:rsidP="000D60BD">
      <w:pPr>
        <w:pStyle w:val="a"/>
        <w:numPr>
          <w:ilvl w:val="2"/>
          <w:numId w:val="3"/>
        </w:numPr>
        <w:rPr>
          <w:rFonts w:ascii="Arial" w:hAnsi="Arial" w:cs="Arial"/>
          <w:lang w:val="en-US"/>
        </w:rPr>
      </w:pPr>
      <w:r>
        <w:rPr>
          <w:rFonts w:cs="Arial"/>
          <w:lang w:val="en-US"/>
        </w:rPr>
        <w:t>If</w:t>
      </w:r>
      <w:r w:rsidRPr="00F86CC5">
        <w:rPr>
          <w:rFonts w:cs="Arial"/>
          <w:lang w:val="en-US"/>
        </w:rPr>
        <w:t xml:space="preserve"> </w:t>
      </w:r>
      <w:r>
        <w:rPr>
          <w:rFonts w:cs="Arial"/>
          <w:lang w:val="en-US"/>
        </w:rPr>
        <w:t>at</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end</w:t>
      </w:r>
      <w:r w:rsidRPr="00F86CC5">
        <w:rPr>
          <w:rFonts w:cs="Arial"/>
          <w:lang w:val="en-US"/>
        </w:rPr>
        <w:t xml:space="preserve"> </w:t>
      </w:r>
      <w:r>
        <w:rPr>
          <w:rFonts w:cs="Arial"/>
          <w:lang w:val="en-US"/>
        </w:rPr>
        <w:t>of</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evening settlement</w:t>
      </w:r>
      <w:r w:rsidRPr="00F86CC5">
        <w:rPr>
          <w:rFonts w:cs="Arial"/>
          <w:lang w:val="en-US"/>
        </w:rPr>
        <w:t xml:space="preserve"> </w:t>
      </w:r>
      <w:r>
        <w:rPr>
          <w:rFonts w:cs="Arial"/>
          <w:lang w:val="en-US"/>
        </w:rPr>
        <w:t>period</w:t>
      </w:r>
      <w:r w:rsidRPr="00F86CC5">
        <w:rPr>
          <w:rFonts w:cs="Arial"/>
          <w:lang w:val="en-US"/>
        </w:rPr>
        <w:t xml:space="preserve"> </w:t>
      </w:r>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r w:rsidRPr="00C65608">
        <w:rPr>
          <w:rFonts w:ascii="Arial" w:hAnsi="Arial" w:cs="Arial"/>
          <w:lang w:val="en-US"/>
        </w:rPr>
        <w:t>.</w:t>
      </w:r>
    </w:p>
    <w:p w:rsidR="00C93331" w:rsidRDefault="00C93331" w:rsidP="000D60BD">
      <w:pPr>
        <w:pStyle w:val="a"/>
        <w:numPr>
          <w:ilvl w:val="1"/>
          <w:numId w:val="3"/>
        </w:numPr>
        <w:rPr>
          <w:rFonts w:ascii="Arial" w:hAnsi="Arial" w:cs="Arial"/>
          <w:lang w:val="en-US"/>
        </w:rPr>
      </w:pPr>
      <w:r>
        <w:rPr>
          <w:rFonts w:ascii="Arial" w:hAnsi="Arial" w:cs="Arial"/>
          <w:lang w:val="en-US"/>
        </w:rPr>
        <w:t>If during the current trading day before the start of the evening settlement period there were no indirect trades registered in the registry of trades:</w:t>
      </w:r>
    </w:p>
    <w:p w:rsidR="00C93331" w:rsidRPr="00C65608" w:rsidRDefault="00C93331" w:rsidP="000D60BD">
      <w:pPr>
        <w:pStyle w:val="a"/>
        <w:numPr>
          <w:ilvl w:val="2"/>
          <w:numId w:val="3"/>
        </w:numPr>
        <w:rPr>
          <w:rFonts w:ascii="Arial" w:hAnsi="Arial" w:cs="Arial"/>
          <w:lang w:val="en-US"/>
        </w:rPr>
      </w:pPr>
      <w:r>
        <w:rPr>
          <w:rFonts w:ascii="Arial" w:hAnsi="Arial" w:cs="Arial"/>
          <w:lang w:val="en-US"/>
        </w:rPr>
        <w:t>If</w:t>
      </w:r>
      <w:r w:rsidRPr="00F228FD">
        <w:rPr>
          <w:rFonts w:ascii="Arial" w:hAnsi="Arial" w:cs="Arial"/>
          <w:lang w:val="en-US"/>
        </w:rPr>
        <w:t xml:space="preserve"> </w:t>
      </w:r>
      <w:r>
        <w:rPr>
          <w:rFonts w:ascii="Arial" w:hAnsi="Arial" w:cs="Arial"/>
          <w:lang w:val="en-US"/>
        </w:rPr>
        <w:t>at</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end</w:t>
      </w:r>
      <w:r w:rsidRPr="00F228FD">
        <w:rPr>
          <w:rFonts w:ascii="Arial" w:hAnsi="Arial" w:cs="Arial"/>
          <w:lang w:val="en-US"/>
        </w:rPr>
        <w:t xml:space="preserve"> </w:t>
      </w:r>
      <w:r>
        <w:rPr>
          <w:rFonts w:ascii="Arial" w:hAnsi="Arial" w:cs="Arial"/>
          <w:lang w:val="en-US"/>
        </w:rPr>
        <w:t>of</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evening settlement</w:t>
      </w:r>
      <w:r w:rsidRPr="00F228FD">
        <w:rPr>
          <w:rFonts w:ascii="Arial" w:hAnsi="Arial" w:cs="Arial"/>
          <w:lang w:val="en-US"/>
        </w:rPr>
        <w:t xml:space="preserve"> </w:t>
      </w:r>
      <w:r>
        <w:rPr>
          <w:rFonts w:ascii="Arial" w:hAnsi="Arial" w:cs="Arial"/>
          <w:lang w:val="en-US"/>
        </w:rPr>
        <w:t>period</w:t>
      </w:r>
      <w:r w:rsidRPr="00F228FD">
        <w:rPr>
          <w:rFonts w:ascii="Arial" w:hAnsi="Arial" w:cs="Arial"/>
          <w:lang w:val="en-US"/>
        </w:rPr>
        <w:t xml:space="preserve"> </w:t>
      </w:r>
      <w:r>
        <w:rPr>
          <w:rFonts w:ascii="Arial" w:hAnsi="Arial" w:cs="Arial"/>
          <w:lang w:val="en-US"/>
        </w:rPr>
        <w:t>there</w:t>
      </w:r>
      <w:r w:rsidRPr="00F228FD">
        <w:rPr>
          <w:rFonts w:ascii="Arial" w:hAnsi="Arial" w:cs="Arial"/>
          <w:lang w:val="en-US"/>
        </w:rPr>
        <w:t xml:space="preserve"> </w:t>
      </w:r>
      <w:r>
        <w:rPr>
          <w:rFonts w:ascii="Arial" w:hAnsi="Arial" w:cs="Arial"/>
          <w:lang w:val="en-US"/>
        </w:rPr>
        <w:t>are</w:t>
      </w:r>
      <w:r w:rsidRPr="00F228FD">
        <w:rPr>
          <w:rFonts w:ascii="Arial" w:hAnsi="Arial" w:cs="Arial"/>
          <w:lang w:val="en-US"/>
        </w:rPr>
        <w:t xml:space="preserve"> </w:t>
      </w:r>
      <w:r>
        <w:rPr>
          <w:rFonts w:ascii="Arial" w:hAnsi="Arial" w:cs="Arial"/>
          <w:lang w:val="en-US"/>
        </w:rPr>
        <w:t>active buy</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this futures contract in the orders registry whose price exceeds the settlement price calculated for this futures contract during the previous evening clearing session provided that there are no active sell</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C93331" w:rsidRDefault="00C93331" w:rsidP="000D60BD">
      <w:pPr>
        <w:pStyle w:val="a"/>
        <w:numPr>
          <w:ilvl w:val="2"/>
          <w:numId w:val="3"/>
        </w:numPr>
        <w:rPr>
          <w:rFonts w:ascii="Arial" w:hAnsi="Arial" w:cs="Arial"/>
          <w:lang w:val="en-US"/>
        </w:rPr>
      </w:pPr>
      <w:r>
        <w:rPr>
          <w:rFonts w:ascii="Arial" w:hAnsi="Arial" w:cs="Arial"/>
          <w:lang w:val="en-US"/>
        </w:rPr>
        <w:t>If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Default="00C93331" w:rsidP="000D60BD">
      <w:pPr>
        <w:pStyle w:val="a"/>
        <w:numPr>
          <w:ilvl w:val="2"/>
          <w:numId w:val="3"/>
        </w:numPr>
        <w:rPr>
          <w:rFonts w:ascii="Arial" w:hAnsi="Arial" w:cs="Arial"/>
          <w:lang w:val="en-US"/>
        </w:rPr>
      </w:pPr>
      <w:r>
        <w:rPr>
          <w:rFonts w:ascii="Arial" w:hAnsi="Arial" w:cs="Arial"/>
          <w:lang w:val="en-US"/>
        </w:rPr>
        <w:t>Otherwise the settlement price of the given futures contract shall be equal to its settlement price calculated during the previous evening clearing session.</w:t>
      </w:r>
    </w:p>
    <w:p w:rsidR="00C93331" w:rsidRPr="00641F01" w:rsidRDefault="00C93331" w:rsidP="000D60BD">
      <w:pPr>
        <w:pStyle w:val="a0"/>
        <w:numPr>
          <w:ilvl w:val="0"/>
          <w:numId w:val="3"/>
        </w:numPr>
        <w:rPr>
          <w:rFonts w:ascii="Arial" w:hAnsi="Arial" w:cs="Arial"/>
          <w:b w:val="0"/>
          <w:bCs w:val="0"/>
          <w:lang w:val="en-US"/>
        </w:rPr>
      </w:pPr>
      <w:r>
        <w:rPr>
          <w:rFonts w:ascii="Arial" w:hAnsi="Arial" w:cs="Arial"/>
          <w:b w:val="0"/>
          <w:bCs w:val="0"/>
          <w:lang w:val="en-US"/>
        </w:rPr>
        <w:t xml:space="preserve">Determining the settlement price of a futures contract provided that indirect trades were registered for this futures contract in the trades registry </w:t>
      </w:r>
      <w:r w:rsidRPr="00AD274E">
        <w:rPr>
          <w:rFonts w:ascii="Arial" w:hAnsi="Arial" w:cs="Arial"/>
          <w:b w:val="0"/>
          <w:bCs w:val="0"/>
          <w:lang w:val="en-US"/>
        </w:rPr>
        <w:t xml:space="preserve">during the </w:t>
      </w:r>
      <w:r>
        <w:rPr>
          <w:rFonts w:ascii="Arial" w:hAnsi="Arial" w:cs="Arial"/>
          <w:b w:val="0"/>
          <w:bCs w:val="0"/>
          <w:lang w:val="en-US"/>
        </w:rPr>
        <w:t>settlement p</w:t>
      </w:r>
      <w:r w:rsidRPr="00AD274E">
        <w:rPr>
          <w:rFonts w:ascii="Arial" w:hAnsi="Arial" w:cs="Arial"/>
          <w:b w:val="0"/>
          <w:bCs w:val="0"/>
          <w:lang w:val="en-US"/>
        </w:rPr>
        <w:t>eriod</w:t>
      </w:r>
      <w:r w:rsidRPr="00641F01">
        <w:rPr>
          <w:rFonts w:ascii="Arial" w:hAnsi="Arial" w:cs="Arial"/>
          <w:b w:val="0"/>
          <w:bCs w:val="0"/>
          <w:lang w:val="en-US"/>
        </w:rPr>
        <w:t>.</w:t>
      </w:r>
    </w:p>
    <w:p w:rsidR="00C93331" w:rsidRPr="00641F01" w:rsidRDefault="00C93331" w:rsidP="000D60BD">
      <w:pPr>
        <w:pStyle w:val="a"/>
        <w:numPr>
          <w:ilvl w:val="1"/>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Clauses 9.2 – 9.3 herein.</w:t>
      </w:r>
    </w:p>
    <w:p w:rsidR="00C93331" w:rsidRPr="00BC6B59" w:rsidRDefault="00C93331" w:rsidP="000D60BD">
      <w:pPr>
        <w:pStyle w:val="a"/>
        <w:numPr>
          <w:ilvl w:val="1"/>
          <w:numId w:val="3"/>
        </w:numPr>
        <w:rPr>
          <w:rFonts w:ascii="Arial" w:hAnsi="Arial" w:cs="Arial"/>
          <w:lang w:val="en-US"/>
        </w:rPr>
      </w:pPr>
      <w:bookmarkStart w:id="3" w:name="_Ref72924098"/>
      <w:r>
        <w:rPr>
          <w:rFonts w:ascii="Arial" w:hAnsi="Arial" w:cs="Arial"/>
          <w:lang w:val="en-US"/>
        </w:rPr>
        <w:t>If at the end of the settlement p</w:t>
      </w:r>
      <w:r w:rsidRPr="00DD05FF">
        <w:rPr>
          <w:rFonts w:ascii="Arial" w:hAnsi="Arial" w:cs="Arial"/>
          <w:lang w:val="en-US"/>
        </w:rPr>
        <w:t xml:space="preserve">eriod </w:t>
      </w:r>
      <w:bookmarkEnd w:id="3"/>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C17F36" w:rsidRDefault="00C93331" w:rsidP="000D60BD">
      <w:pPr>
        <w:pStyle w:val="a"/>
        <w:numPr>
          <w:ilvl w:val="1"/>
          <w:numId w:val="3"/>
        </w:numPr>
        <w:rPr>
          <w:rFonts w:ascii="Arial" w:hAnsi="Arial" w:cs="Arial"/>
          <w:lang w:val="en-US"/>
        </w:rPr>
      </w:pPr>
      <w:r>
        <w:rPr>
          <w:lang w:val="en-US"/>
        </w:rPr>
        <w:t>If</w:t>
      </w:r>
      <w:r w:rsidRPr="00026075">
        <w:rPr>
          <w:lang w:val="en-US"/>
        </w:rPr>
        <w:t xml:space="preserve"> </w:t>
      </w:r>
      <w:r>
        <w:rPr>
          <w:lang w:val="en-US"/>
        </w:rPr>
        <w:t>the</w:t>
      </w:r>
      <w:r w:rsidRPr="00026075">
        <w:rPr>
          <w:lang w:val="en-US"/>
        </w:rPr>
        <w:t xml:space="preserve"> </w:t>
      </w:r>
      <w:r>
        <w:rPr>
          <w:lang w:val="en-US"/>
        </w:rPr>
        <w:t>trade</w:t>
      </w:r>
      <w:r w:rsidRPr="00026075">
        <w:rPr>
          <w:lang w:val="en-US"/>
        </w:rPr>
        <w:t xml:space="preserve"> </w:t>
      </w:r>
      <w:r>
        <w:rPr>
          <w:lang w:val="en-US"/>
        </w:rPr>
        <w:t>price</w:t>
      </w:r>
      <w:r w:rsidRPr="00026075">
        <w:rPr>
          <w:lang w:val="en-US"/>
        </w:rPr>
        <w:t xml:space="preserve"> </w:t>
      </w:r>
      <w:r>
        <w:rPr>
          <w:lang w:val="en-US"/>
        </w:rPr>
        <w:t>fluctuation</w:t>
      </w:r>
      <w:r w:rsidRPr="00026075">
        <w:rPr>
          <w:lang w:val="en-US"/>
        </w:rPr>
        <w:t xml:space="preserve"> </w:t>
      </w:r>
      <w:r>
        <w:rPr>
          <w:lang w:val="en-US"/>
        </w:rPr>
        <w:t>limit</w:t>
      </w:r>
      <w:r w:rsidRPr="00026075">
        <w:rPr>
          <w:lang w:val="en-US"/>
        </w:rPr>
        <w:t xml:space="preserve"> </w:t>
      </w:r>
      <w:r>
        <w:rPr>
          <w:lang w:val="en-US"/>
        </w:rPr>
        <w:t>was increased during the settlement period, and the settlement price calculated for this futures contract in accordance with the methodology deviates from its settlement price determined during the previous settlement period (initial settlement price) by more than the trade price fluctuation limit established for this settlement period, then the settlement price of the given futures contract for this settlement period shall be equal to the upper trade price fluctuation limit (if the settlement price calculated for this futures contract in accordance with the methodology exceeds the upper trade price fluctuation limit) or the lower trade price fluctuation limit (if the settlement price calculated for this futures contract in accordance with the methodology is lower than the lower trade price fluctuation limit) established for this futures contract for the given settlement period.</w:t>
      </w:r>
    </w:p>
    <w:p w:rsidR="00C93331" w:rsidRPr="00C17F36" w:rsidRDefault="00C93331" w:rsidP="000D60BD">
      <w:pPr>
        <w:pStyle w:val="a0"/>
        <w:numPr>
          <w:ilvl w:val="0"/>
          <w:numId w:val="3"/>
        </w:numPr>
        <w:rPr>
          <w:b w:val="0"/>
          <w:bCs w:val="0"/>
          <w:lang w:val="en-US"/>
        </w:rPr>
      </w:pPr>
      <w:r w:rsidRPr="00C17F36">
        <w:rPr>
          <w:rFonts w:ascii="Arial" w:hAnsi="Arial" w:cs="Arial"/>
          <w:b w:val="0"/>
          <w:lang w:val="en-US"/>
        </w:rPr>
        <w:t xml:space="preserve">In order to </w:t>
      </w:r>
      <w:r>
        <w:rPr>
          <w:rFonts w:ascii="Arial" w:hAnsi="Arial" w:cs="Arial"/>
          <w:b w:val="0"/>
          <w:lang w:val="en-US"/>
        </w:rPr>
        <w:t>determine</w:t>
      </w:r>
      <w:r w:rsidRPr="00C17F36">
        <w:rPr>
          <w:rFonts w:ascii="Arial" w:hAnsi="Arial" w:cs="Arial"/>
          <w:b w:val="0"/>
          <w:lang w:val="en-US"/>
        </w:rPr>
        <w:t xml:space="preserve"> futures contract</w:t>
      </w:r>
      <w:r>
        <w:rPr>
          <w:rFonts w:ascii="Arial" w:hAnsi="Arial" w:cs="Arial"/>
          <w:b w:val="0"/>
          <w:lang w:val="en-US"/>
        </w:rPr>
        <w:t>s’ settlement prices, the Exchange shall compile</w:t>
      </w:r>
      <w:r w:rsidRPr="00C17F36">
        <w:rPr>
          <w:rFonts w:ascii="Arial" w:hAnsi="Arial" w:cs="Arial"/>
          <w:b w:val="0"/>
          <w:lang w:val="en-US"/>
        </w:rPr>
        <w:t xml:space="preserve"> a list of main (most liquid) futures contracts and </w:t>
      </w:r>
      <w:r>
        <w:rPr>
          <w:rFonts w:ascii="Arial" w:hAnsi="Arial" w:cs="Arial"/>
          <w:b w:val="0"/>
          <w:lang w:val="en-US"/>
        </w:rPr>
        <w:t xml:space="preserve">secondary </w:t>
      </w:r>
      <w:r w:rsidRPr="00C17F36">
        <w:rPr>
          <w:rFonts w:ascii="Arial" w:hAnsi="Arial" w:cs="Arial"/>
          <w:b w:val="0"/>
          <w:lang w:val="en-US"/>
        </w:rPr>
        <w:t xml:space="preserve">futures contracts (less liquid) in accordance with the </w:t>
      </w:r>
      <w:r>
        <w:rPr>
          <w:rFonts w:ascii="Arial" w:hAnsi="Arial" w:cs="Arial"/>
          <w:b w:val="0"/>
          <w:lang w:val="en-US"/>
        </w:rPr>
        <w:t>m</w:t>
      </w:r>
      <w:r w:rsidRPr="00C17F36">
        <w:rPr>
          <w:rFonts w:ascii="Arial" w:hAnsi="Arial" w:cs="Arial"/>
          <w:b w:val="0"/>
          <w:lang w:val="en-US"/>
        </w:rPr>
        <w:t>ethod</w:t>
      </w:r>
      <w:r>
        <w:rPr>
          <w:rFonts w:ascii="Arial" w:hAnsi="Arial" w:cs="Arial"/>
          <w:b w:val="0"/>
          <w:lang w:val="en-US"/>
        </w:rPr>
        <w:t>ology</w:t>
      </w:r>
      <w:r w:rsidRPr="00C17F36">
        <w:rPr>
          <w:rFonts w:ascii="Arial" w:hAnsi="Arial" w:cs="Arial"/>
          <w:b w:val="0"/>
          <w:lang w:val="en-US"/>
        </w:rPr>
        <w:t xml:space="preserve"> approved by the Exchange </w:t>
      </w:r>
      <w:r>
        <w:rPr>
          <w:rFonts w:ascii="Arial" w:hAnsi="Arial" w:cs="Arial"/>
          <w:b w:val="0"/>
          <w:lang w:val="en-US"/>
        </w:rPr>
        <w:t>on recommendation of the</w:t>
      </w:r>
      <w:r w:rsidRPr="00C17F36">
        <w:rPr>
          <w:rFonts w:ascii="Arial" w:hAnsi="Arial" w:cs="Arial"/>
          <w:b w:val="0"/>
          <w:lang w:val="en-US"/>
        </w:rPr>
        <w:t xml:space="preserve"> Derivatives Market Committee</w:t>
      </w:r>
      <w:r>
        <w:rPr>
          <w:rFonts w:ascii="Arial" w:hAnsi="Arial" w:cs="Arial"/>
          <w:b w:val="0"/>
          <w:lang w:val="en-US"/>
        </w:rPr>
        <w:t xml:space="preserve">. This methodology is </w:t>
      </w:r>
      <w:r w:rsidRPr="00C17F36">
        <w:rPr>
          <w:rFonts w:ascii="Arial" w:hAnsi="Arial" w:cs="Arial"/>
          <w:b w:val="0"/>
          <w:lang w:val="en-US"/>
        </w:rPr>
        <w:t xml:space="preserve">published </w:t>
      </w:r>
      <w:r w:rsidRPr="00AF5810">
        <w:rPr>
          <w:rFonts w:ascii="Arial" w:hAnsi="Arial" w:cs="Arial"/>
          <w:b w:val="0"/>
          <w:lang w:val="en-US"/>
        </w:rPr>
        <w:t xml:space="preserve">on the </w:t>
      </w:r>
      <w:r w:rsidRPr="00AF5810">
        <w:rPr>
          <w:rFonts w:ascii="Arial" w:hAnsi="Arial" w:cs="Arial"/>
          <w:b w:val="0"/>
          <w:color w:val="auto"/>
          <w:lang w:val="en-US"/>
        </w:rPr>
        <w:t>Exchange’s website</w:t>
      </w:r>
      <w:r w:rsidRPr="00AF5810">
        <w:rPr>
          <w:rFonts w:ascii="Arial" w:hAnsi="Arial" w:cs="Arial"/>
          <w:b w:val="0"/>
          <w:lang w:val="en-US"/>
        </w:rPr>
        <w:t>. The settlement price of a secondary futures contract shall be determined as provided for</w:t>
      </w:r>
      <w:r>
        <w:rPr>
          <w:rFonts w:ascii="Arial" w:hAnsi="Arial" w:cs="Arial"/>
          <w:b w:val="0"/>
          <w:lang w:val="en-US"/>
        </w:rPr>
        <w:t xml:space="preserve"> in Clauses 7 – 9 herein with regard to </w:t>
      </w:r>
      <w:r w:rsidRPr="00C17F36">
        <w:rPr>
          <w:rFonts w:ascii="Arial" w:hAnsi="Arial" w:cs="Arial"/>
          <w:b w:val="0"/>
          <w:lang w:val="en-US"/>
        </w:rPr>
        <w:t xml:space="preserve">the limitations </w:t>
      </w:r>
      <w:r>
        <w:rPr>
          <w:rFonts w:ascii="Arial" w:hAnsi="Arial" w:cs="Arial"/>
          <w:b w:val="0"/>
          <w:lang w:val="en-US"/>
        </w:rPr>
        <w:t>set forth in the above-mentioned methodology</w:t>
      </w:r>
      <w:r w:rsidRPr="00C17F36">
        <w:rPr>
          <w:rFonts w:ascii="Arial" w:hAnsi="Arial" w:cs="Arial"/>
          <w:b w:val="0"/>
          <w:lang w:val="en-US"/>
        </w:rPr>
        <w:t>.</w:t>
      </w:r>
    </w:p>
    <w:p w:rsidR="00C93331" w:rsidRPr="0075058B" w:rsidRDefault="00C93331" w:rsidP="000D60BD">
      <w:pPr>
        <w:pStyle w:val="a0"/>
        <w:numPr>
          <w:ilvl w:val="0"/>
          <w:numId w:val="3"/>
        </w:numPr>
        <w:rPr>
          <w:b w:val="0"/>
          <w:bCs w:val="0"/>
          <w:lang w:val="en-US"/>
        </w:rPr>
      </w:pPr>
      <w:r>
        <w:rPr>
          <w:b w:val="0"/>
          <w:bCs w:val="0"/>
          <w:lang w:val="en-US"/>
        </w:rPr>
        <w:t>If in accordance with the specifications of a cash-settled futures contract the Variation Margin calculated for this futures contract with the purpose of determining the settlement obligations under the given futures contract is limited to the size of collateral posted on this futures contract, then the settlement price (final settlement price) of the given futures contract shall be deemed changed in a way that ensures that the Variation Margin calculated based on this settlement price (final settlement price) equals the above-mentioned collateral.</w:t>
      </w:r>
    </w:p>
    <w:p w:rsidR="00C93331" w:rsidRPr="0075058B" w:rsidRDefault="00C93331" w:rsidP="000D60BD">
      <w:pPr>
        <w:pStyle w:val="a0"/>
        <w:numPr>
          <w:ilvl w:val="0"/>
          <w:numId w:val="3"/>
        </w:numPr>
        <w:rPr>
          <w:b w:val="0"/>
          <w:bCs w:val="0"/>
          <w:lang w:val="en-US"/>
        </w:rPr>
      </w:pPr>
      <w:r w:rsidRPr="0075058B">
        <w:rPr>
          <w:b w:val="0"/>
          <w:lang w:val="en-US"/>
        </w:rPr>
        <w:t>The settlement price of an option contract shall be equal to the theoretical price of this option contract calculated by the Exchange at the end of the settlement period save as provided for in Clause 5 herein.</w:t>
      </w:r>
    </w:p>
    <w:p w:rsidR="00C93331" w:rsidRPr="00236E17" w:rsidRDefault="00C93331" w:rsidP="000D60BD">
      <w:pPr>
        <w:pStyle w:val="Point"/>
        <w:numPr>
          <w:ilvl w:val="0"/>
          <w:numId w:val="0"/>
        </w:numPr>
        <w:ind w:left="720"/>
        <w:rPr>
          <w:b/>
          <w:bCs/>
          <w:lang w:val="en-US"/>
        </w:rPr>
      </w:pPr>
    </w:p>
    <w:p w:rsidR="00C93331" w:rsidRPr="000D60BD" w:rsidRDefault="00C93331">
      <w:pPr>
        <w:rPr>
          <w:lang w:val="en-US"/>
        </w:rPr>
      </w:pPr>
    </w:p>
    <w:sectPr w:rsidR="00C93331" w:rsidRPr="000D60BD" w:rsidSect="00C727AE">
      <w:headerReference w:type="default" r:id="rId7"/>
      <w:footerReference w:type="default" r:id="rId8"/>
      <w:pgSz w:w="11906" w:h="16838"/>
      <w:pgMar w:top="1134" w:right="850" w:bottom="1134"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31" w:rsidRDefault="00C93331">
      <w:r>
        <w:separator/>
      </w:r>
    </w:p>
  </w:endnote>
  <w:endnote w:type="continuationSeparator" w:id="0">
    <w:p w:rsidR="00C93331" w:rsidRDefault="00C93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31" w:rsidRDefault="00C9333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93331" w:rsidRDefault="00C933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31" w:rsidRDefault="00C93331">
      <w:r>
        <w:separator/>
      </w:r>
    </w:p>
  </w:footnote>
  <w:footnote w:type="continuationSeparator" w:id="0">
    <w:p w:rsidR="00C93331" w:rsidRDefault="00C93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31" w:rsidRPr="003B1F54" w:rsidRDefault="00C93331" w:rsidP="00B906AD">
    <w:pPr>
      <w:pStyle w:val="Header"/>
      <w:pBdr>
        <w:bottom w:val="single" w:sz="4" w:space="1" w:color="auto"/>
      </w:pBdr>
      <w:tabs>
        <w:tab w:val="right" w:pos="8460"/>
      </w:tabs>
      <w:ind w:right="623"/>
      <w:rPr>
        <w:rFonts w:ascii="Arial" w:hAnsi="Arial" w:cs="Arial"/>
        <w:i/>
        <w:iCs/>
        <w:sz w:val="18"/>
        <w:szCs w:val="18"/>
        <w:lang w:val="en-US"/>
      </w:rPr>
    </w:pPr>
    <w:r w:rsidRPr="009E70E2">
      <w:rPr>
        <w:rFonts w:ascii="Arial" w:hAnsi="Arial" w:cs="Arial"/>
        <w:i/>
        <w:sz w:val="18"/>
        <w:szCs w:val="18"/>
        <w:lang w:val="en-US"/>
      </w:rPr>
      <w:t xml:space="preserve">Derivatives Rules of </w:t>
    </w:r>
    <w:r w:rsidRPr="003B1F54">
      <w:rPr>
        <w:rFonts w:ascii="Arial" w:hAnsi="Arial" w:cs="Arial"/>
        <w:i/>
        <w:sz w:val="18"/>
        <w:lang w:val="en-US"/>
      </w:rPr>
      <w:t>Open Joint</w:t>
    </w:r>
    <w:r>
      <w:rPr>
        <w:rFonts w:ascii="Arial" w:hAnsi="Arial" w:cs="Arial"/>
        <w:i/>
        <w:sz w:val="18"/>
        <w:lang w:val="en-US"/>
      </w:rPr>
      <w:t xml:space="preserve"> </w:t>
    </w:r>
    <w:r w:rsidRPr="003B1F54">
      <w:rPr>
        <w:rFonts w:ascii="Arial" w:hAnsi="Arial" w:cs="Arial"/>
        <w:i/>
        <w:sz w:val="18"/>
        <w:lang w:val="en-US"/>
      </w:rPr>
      <w:t>Stock Company</w:t>
    </w:r>
    <w:r>
      <w:rPr>
        <w:rFonts w:ascii="Arial" w:hAnsi="Arial" w:cs="Arial"/>
        <w:i/>
        <w:sz w:val="18"/>
        <w:lang w:val="en-US"/>
      </w:rPr>
      <w:t xml:space="preserve"> “Moscow Exchange MICEX-RTS”</w:t>
    </w:r>
  </w:p>
  <w:p w:rsidR="00C93331" w:rsidRPr="003B1F54" w:rsidRDefault="00C93331">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
    <w:nsid w:val="2AA12332"/>
    <w:multiLevelType w:val="multilevel"/>
    <w:tmpl w:val="663A1CDA"/>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6D0C273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0BD"/>
    <w:rsid w:val="00017F02"/>
    <w:rsid w:val="0002276C"/>
    <w:rsid w:val="0002497F"/>
    <w:rsid w:val="00026075"/>
    <w:rsid w:val="00027254"/>
    <w:rsid w:val="0004433E"/>
    <w:rsid w:val="00050D53"/>
    <w:rsid w:val="00057BA2"/>
    <w:rsid w:val="00080E69"/>
    <w:rsid w:val="000A681A"/>
    <w:rsid w:val="000D60BD"/>
    <w:rsid w:val="000E511D"/>
    <w:rsid w:val="000E6F7A"/>
    <w:rsid w:val="000E77DB"/>
    <w:rsid w:val="001007DB"/>
    <w:rsid w:val="0012784A"/>
    <w:rsid w:val="00174FC5"/>
    <w:rsid w:val="00192960"/>
    <w:rsid w:val="001A36A8"/>
    <w:rsid w:val="001A7A5B"/>
    <w:rsid w:val="001D12D8"/>
    <w:rsid w:val="001F535F"/>
    <w:rsid w:val="00210E71"/>
    <w:rsid w:val="002137CC"/>
    <w:rsid w:val="00236E17"/>
    <w:rsid w:val="002504F9"/>
    <w:rsid w:val="002522EC"/>
    <w:rsid w:val="00284D21"/>
    <w:rsid w:val="002A2291"/>
    <w:rsid w:val="002B3D94"/>
    <w:rsid w:val="002C4BB6"/>
    <w:rsid w:val="002D390F"/>
    <w:rsid w:val="003314DB"/>
    <w:rsid w:val="0033581F"/>
    <w:rsid w:val="00352ED6"/>
    <w:rsid w:val="00374877"/>
    <w:rsid w:val="003B1F54"/>
    <w:rsid w:val="003C6E7E"/>
    <w:rsid w:val="003E1336"/>
    <w:rsid w:val="003F47D6"/>
    <w:rsid w:val="004030EF"/>
    <w:rsid w:val="004463F0"/>
    <w:rsid w:val="00485898"/>
    <w:rsid w:val="004A2065"/>
    <w:rsid w:val="004B0B73"/>
    <w:rsid w:val="004B44D7"/>
    <w:rsid w:val="004C48F9"/>
    <w:rsid w:val="004D1CEB"/>
    <w:rsid w:val="004E5AF0"/>
    <w:rsid w:val="004F1C87"/>
    <w:rsid w:val="004F1CA3"/>
    <w:rsid w:val="005019CE"/>
    <w:rsid w:val="0052445A"/>
    <w:rsid w:val="00531F49"/>
    <w:rsid w:val="00547C46"/>
    <w:rsid w:val="005C4169"/>
    <w:rsid w:val="00604CA6"/>
    <w:rsid w:val="00641F01"/>
    <w:rsid w:val="0066378B"/>
    <w:rsid w:val="00687CD4"/>
    <w:rsid w:val="006B066E"/>
    <w:rsid w:val="006C7EC4"/>
    <w:rsid w:val="006D3EB4"/>
    <w:rsid w:val="006F2957"/>
    <w:rsid w:val="006F3B96"/>
    <w:rsid w:val="007018F4"/>
    <w:rsid w:val="00727D43"/>
    <w:rsid w:val="0075058B"/>
    <w:rsid w:val="00750B53"/>
    <w:rsid w:val="007C53BC"/>
    <w:rsid w:val="007D10E9"/>
    <w:rsid w:val="008007E2"/>
    <w:rsid w:val="0083404A"/>
    <w:rsid w:val="008416CA"/>
    <w:rsid w:val="00845B75"/>
    <w:rsid w:val="00862E65"/>
    <w:rsid w:val="00864544"/>
    <w:rsid w:val="00864626"/>
    <w:rsid w:val="00897CEE"/>
    <w:rsid w:val="008D61D3"/>
    <w:rsid w:val="008F014B"/>
    <w:rsid w:val="008F38EB"/>
    <w:rsid w:val="0093104C"/>
    <w:rsid w:val="00965135"/>
    <w:rsid w:val="00973BC1"/>
    <w:rsid w:val="009768BA"/>
    <w:rsid w:val="00993ADD"/>
    <w:rsid w:val="009947CC"/>
    <w:rsid w:val="009B0C53"/>
    <w:rsid w:val="009C0A3D"/>
    <w:rsid w:val="009C7C98"/>
    <w:rsid w:val="009E70E2"/>
    <w:rsid w:val="00A01285"/>
    <w:rsid w:val="00A1625B"/>
    <w:rsid w:val="00A25C3E"/>
    <w:rsid w:val="00A35825"/>
    <w:rsid w:val="00A412BB"/>
    <w:rsid w:val="00A47B28"/>
    <w:rsid w:val="00A510D9"/>
    <w:rsid w:val="00AB16E7"/>
    <w:rsid w:val="00AB2364"/>
    <w:rsid w:val="00AC6C49"/>
    <w:rsid w:val="00AD274E"/>
    <w:rsid w:val="00AE5AE9"/>
    <w:rsid w:val="00AF5810"/>
    <w:rsid w:val="00B5204F"/>
    <w:rsid w:val="00B57841"/>
    <w:rsid w:val="00B906AD"/>
    <w:rsid w:val="00BB3F7F"/>
    <w:rsid w:val="00BC6B59"/>
    <w:rsid w:val="00BE59A1"/>
    <w:rsid w:val="00BE59BD"/>
    <w:rsid w:val="00BF2627"/>
    <w:rsid w:val="00BF713C"/>
    <w:rsid w:val="00C00DFE"/>
    <w:rsid w:val="00C12CE8"/>
    <w:rsid w:val="00C17F36"/>
    <w:rsid w:val="00C21474"/>
    <w:rsid w:val="00C46EC5"/>
    <w:rsid w:val="00C65608"/>
    <w:rsid w:val="00C727AE"/>
    <w:rsid w:val="00C817B6"/>
    <w:rsid w:val="00C83299"/>
    <w:rsid w:val="00C93331"/>
    <w:rsid w:val="00CB49DB"/>
    <w:rsid w:val="00CF04B7"/>
    <w:rsid w:val="00CF7BC6"/>
    <w:rsid w:val="00D03B7B"/>
    <w:rsid w:val="00D44A19"/>
    <w:rsid w:val="00D4758B"/>
    <w:rsid w:val="00D50D56"/>
    <w:rsid w:val="00D514A2"/>
    <w:rsid w:val="00D576DD"/>
    <w:rsid w:val="00DB0E01"/>
    <w:rsid w:val="00DD05FF"/>
    <w:rsid w:val="00DD6723"/>
    <w:rsid w:val="00DE5790"/>
    <w:rsid w:val="00DF1035"/>
    <w:rsid w:val="00E319C0"/>
    <w:rsid w:val="00E371A1"/>
    <w:rsid w:val="00E37C33"/>
    <w:rsid w:val="00E422C7"/>
    <w:rsid w:val="00E471B4"/>
    <w:rsid w:val="00E66216"/>
    <w:rsid w:val="00E74CC5"/>
    <w:rsid w:val="00E87EDF"/>
    <w:rsid w:val="00EB127B"/>
    <w:rsid w:val="00F0629C"/>
    <w:rsid w:val="00F10A17"/>
    <w:rsid w:val="00F209DB"/>
    <w:rsid w:val="00F228FD"/>
    <w:rsid w:val="00F54738"/>
    <w:rsid w:val="00F7540D"/>
    <w:rsid w:val="00F86CC5"/>
    <w:rsid w:val="00FA278C"/>
    <w:rsid w:val="00FB5871"/>
    <w:rsid w:val="00FB61DA"/>
    <w:rsid w:val="00FD30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0B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BodyText">
    <w:name w:val="Body Text"/>
    <w:basedOn w:val="Normal"/>
    <w:link w:val="BodyTextChar"/>
    <w:uiPriority w:val="99"/>
    <w:rsid w:val="000D60BD"/>
    <w:pPr>
      <w:autoSpaceDE w:val="0"/>
      <w:autoSpaceDN w:val="0"/>
    </w:pPr>
    <w:rPr>
      <w:rFonts w:ascii="Arial" w:hAnsi="Arial" w:cs="Arial"/>
      <w:b/>
      <w:bCs/>
      <w:sz w:val="20"/>
      <w:szCs w:val="20"/>
    </w:rPr>
  </w:style>
  <w:style w:type="character" w:customStyle="1" w:styleId="BodyTextChar">
    <w:name w:val="Body Text Char"/>
    <w:basedOn w:val="DefaultParagraphFont"/>
    <w:link w:val="BodyText"/>
    <w:uiPriority w:val="99"/>
    <w:locked/>
    <w:rsid w:val="000D60BD"/>
    <w:rPr>
      <w:rFonts w:ascii="Arial" w:hAnsi="Arial" w:cs="Arial"/>
      <w:b/>
      <w:bCs/>
      <w:snapToGrid w:val="0"/>
      <w:sz w:val="20"/>
      <w:szCs w:val="20"/>
      <w:lang w:eastAsia="ru-RU"/>
    </w:rPr>
  </w:style>
  <w:style w:type="paragraph" w:styleId="NormalWeb">
    <w:name w:val="Normal (Web)"/>
    <w:basedOn w:val="Normal"/>
    <w:uiPriority w:val="99"/>
    <w:rsid w:val="000D60BD"/>
  </w:style>
  <w:style w:type="paragraph" w:customStyle="1" w:styleId="a0">
    <w:name w:val="Пункт"/>
    <w:basedOn w:val="NormalWeb"/>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Header">
    <w:name w:val="header"/>
    <w:basedOn w:val="Normal"/>
    <w:link w:val="HeaderChar"/>
    <w:uiPriority w:val="99"/>
    <w:rsid w:val="000D60BD"/>
    <w:pPr>
      <w:tabs>
        <w:tab w:val="center" w:pos="4677"/>
        <w:tab w:val="right" w:pos="9355"/>
      </w:tabs>
    </w:pPr>
  </w:style>
  <w:style w:type="character" w:customStyle="1" w:styleId="HeaderChar">
    <w:name w:val="Header Char"/>
    <w:basedOn w:val="DefaultParagraphFont"/>
    <w:link w:val="Header"/>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NormalWeb"/>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Footer">
    <w:name w:val="footer"/>
    <w:basedOn w:val="Normal"/>
    <w:link w:val="FooterChar"/>
    <w:uiPriority w:val="99"/>
    <w:rsid w:val="000D60BD"/>
    <w:pPr>
      <w:tabs>
        <w:tab w:val="center" w:pos="4677"/>
        <w:tab w:val="right" w:pos="9355"/>
      </w:tabs>
    </w:pPr>
  </w:style>
  <w:style w:type="character" w:customStyle="1" w:styleId="FooterChar">
    <w:name w:val="Footer Char"/>
    <w:basedOn w:val="DefaultParagraphFont"/>
    <w:link w:val="Footer"/>
    <w:uiPriority w:val="99"/>
    <w:locked/>
    <w:rsid w:val="000D60BD"/>
    <w:rPr>
      <w:rFonts w:ascii="Times New Roman" w:hAnsi="Times New Roman" w:cs="Times New Roman"/>
      <w:snapToGrid w:val="0"/>
      <w:sz w:val="24"/>
      <w:szCs w:val="24"/>
      <w:lang w:eastAsia="ru-RU"/>
    </w:rPr>
  </w:style>
  <w:style w:type="character" w:styleId="PageNumber">
    <w:name w:val="page number"/>
    <w:basedOn w:val="DefaultParagraphFont"/>
    <w:uiPriority w:val="99"/>
    <w:rsid w:val="000D60B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1352</Words>
  <Characters>7712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dc:description/>
  <cp:lastModifiedBy>kozlova</cp:lastModifiedBy>
  <cp:revision>4</cp:revision>
  <dcterms:created xsi:type="dcterms:W3CDTF">2013-04-19T08:28:00Z</dcterms:created>
  <dcterms:modified xsi:type="dcterms:W3CDTF">2013-04-23T10:41:00Z</dcterms:modified>
</cp:coreProperties>
</file>