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2" w:rsidRPr="00196413" w:rsidRDefault="00313B62" w:rsidP="00313B62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196413">
        <w:rPr>
          <w:rFonts w:ascii="Tahoma" w:hAnsi="Tahoma" w:cs="Tahoma"/>
          <w:b/>
          <w:sz w:val="22"/>
          <w:szCs w:val="22"/>
        </w:rPr>
        <w:t>Параметры для расчёта</w:t>
      </w:r>
      <w:r w:rsidR="00AF3232" w:rsidRPr="00196413">
        <w:rPr>
          <w:rFonts w:ascii="Tahoma" w:hAnsi="Tahoma" w:cs="Tahoma"/>
          <w:b/>
          <w:sz w:val="22"/>
          <w:szCs w:val="22"/>
        </w:rPr>
        <w:t xml:space="preserve"> сборов за неэффективные и ошибочные транзакции</w:t>
      </w:r>
    </w:p>
    <w:p w:rsidR="00E04D0C" w:rsidRPr="00196413" w:rsidRDefault="00E04D0C" w:rsidP="00E04D0C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Данные параметры устанавливаются решением ООО «МБ Технологии».</w:t>
      </w:r>
    </w:p>
    <w:p w:rsidR="00313B62" w:rsidRPr="00196413" w:rsidRDefault="00313B62" w:rsidP="00313B62">
      <w:pPr>
        <w:pStyle w:val="20"/>
        <w:spacing w:before="24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неэффективные транзакции</w:t>
      </w:r>
    </w:p>
    <w:p w:rsidR="00313B62" w:rsidRPr="00196413" w:rsidRDefault="00AF3232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</w:t>
      </w:r>
      <w:r w:rsidR="00313B62" w:rsidRPr="00196413">
        <w:rPr>
          <w:rFonts w:ascii="Tahoma" w:hAnsi="Tahoma" w:cs="Tahoma"/>
          <w:sz w:val="22"/>
          <w:szCs w:val="22"/>
        </w:rPr>
        <w:t>орогово</w:t>
      </w:r>
      <w:r w:rsidRPr="00196413">
        <w:rPr>
          <w:rFonts w:ascii="Tahoma" w:hAnsi="Tahoma" w:cs="Tahoma"/>
          <w:sz w:val="22"/>
          <w:szCs w:val="22"/>
        </w:rPr>
        <w:t>е</w:t>
      </w:r>
      <w:r w:rsidR="00313B62" w:rsidRPr="00196413">
        <w:rPr>
          <w:rFonts w:ascii="Tahoma" w:hAnsi="Tahoma" w:cs="Tahoma"/>
          <w:sz w:val="22"/>
          <w:szCs w:val="22"/>
        </w:rPr>
        <w:t xml:space="preserve"> значени</w:t>
      </w:r>
      <w:r w:rsidRPr="00196413">
        <w:rPr>
          <w:rFonts w:ascii="Tahoma" w:hAnsi="Tahoma" w:cs="Tahoma"/>
          <w:sz w:val="22"/>
          <w:szCs w:val="22"/>
        </w:rPr>
        <w:t>е =</w:t>
      </w:r>
      <w:r w:rsidR="00313B62" w:rsidRPr="00196413">
        <w:rPr>
          <w:rFonts w:ascii="Tahoma" w:hAnsi="Tahoma" w:cs="Tahoma"/>
          <w:sz w:val="22"/>
          <w:szCs w:val="22"/>
        </w:rPr>
        <w:t xml:space="preserve"> 2000 Транзакций. </w:t>
      </w:r>
    </w:p>
    <w:p w:rsidR="00313B62" w:rsidRPr="00196413" w:rsidRDefault="00F31BE1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Баллы для</w:t>
      </w:r>
      <w:r w:rsidR="00313B62" w:rsidRPr="00196413">
        <w:rPr>
          <w:rFonts w:ascii="Tahoma" w:hAnsi="Tahoma" w:cs="Tahoma"/>
          <w:sz w:val="22"/>
          <w:szCs w:val="22"/>
        </w:rPr>
        <w:t xml:space="preserve"> Транзакци</w:t>
      </w:r>
      <w:r w:rsidRPr="00196413">
        <w:rPr>
          <w:rFonts w:ascii="Tahoma" w:hAnsi="Tahoma" w:cs="Tahoma"/>
          <w:sz w:val="22"/>
          <w:szCs w:val="22"/>
        </w:rPr>
        <w:t>й</w:t>
      </w:r>
      <w:r w:rsidR="00313B62" w:rsidRPr="00196413">
        <w:rPr>
          <w:rFonts w:ascii="Tahoma" w:hAnsi="Tahoma" w:cs="Tahoma"/>
          <w:sz w:val="22"/>
          <w:szCs w:val="22"/>
        </w:rPr>
        <w:t xml:space="preserve"> и Сдел</w:t>
      </w:r>
      <w:r w:rsidRPr="00196413">
        <w:rPr>
          <w:rFonts w:ascii="Tahoma" w:hAnsi="Tahoma" w:cs="Tahoma"/>
          <w:sz w:val="22"/>
          <w:szCs w:val="22"/>
        </w:rPr>
        <w:t>ок</w:t>
      </w:r>
      <w:r w:rsidR="00313B62" w:rsidRPr="00196413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313B62" w:rsidRPr="00196413" w:rsidTr="00C2509C">
        <w:tc>
          <w:tcPr>
            <w:tcW w:w="4678" w:type="dxa"/>
            <w:gridSpan w:val="3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для Сделки</w:t>
            </w:r>
          </w:p>
        </w:tc>
      </w:tr>
      <w:tr w:rsidR="00313B62" w:rsidRPr="00196413" w:rsidTr="00C2509C">
        <w:tc>
          <w:tcPr>
            <w:tcW w:w="1560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1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84721" w:rsidRPr="00196413"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E04D0C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196413"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  <w:lang w:val="en-US"/>
              </w:rPr>
              <w:t>0,</w:t>
            </w:r>
            <w:r w:rsidRPr="00196413" w:rsidDel="002E44D5">
              <w:rPr>
                <w:rFonts w:ascii="Tahoma" w:hAnsi="Tahoma" w:cs="Tahoma"/>
                <w:lang w:val="en-US"/>
              </w:rPr>
              <w:t xml:space="preserve"> </w:t>
            </w:r>
            <w:r w:rsidRPr="00196413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16045A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</w:tr>
    </w:tbl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инструменту.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2: 0 – фьючерсный контракт (а также Заявка «Календарный спред» – при учёте Транзакций); 1 – опционный контракт. 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3: 1 – </w:t>
      </w:r>
      <w:proofErr w:type="spellStart"/>
      <w:r w:rsidRPr="00196413">
        <w:rPr>
          <w:rFonts w:ascii="Tahoma" w:hAnsi="Tahoma" w:cs="Tahoma"/>
          <w:sz w:val="22"/>
          <w:szCs w:val="22"/>
        </w:rPr>
        <w:t>низколиквидный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инструмент, 0 – иной инструмент.</w:t>
      </w:r>
    </w:p>
    <w:p w:rsidR="00313B62" w:rsidRPr="00196413" w:rsidRDefault="00313B62" w:rsidP="00313B62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ошибочные транзакции</w:t>
      </w:r>
    </w:p>
    <w:p w:rsidR="00313B62" w:rsidRPr="00196413" w:rsidRDefault="00AD77C9" w:rsidP="00AD77C9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</w:t>
      </w:r>
      <w:r w:rsidR="00313B62" w:rsidRPr="00196413">
        <w:rPr>
          <w:rFonts w:ascii="Tahoma" w:hAnsi="Tahoma" w:cs="Tahoma"/>
          <w:sz w:val="22"/>
          <w:szCs w:val="22"/>
        </w:rPr>
        <w:t>граничение на максимальную величину</w:t>
      </w:r>
      <w:r w:rsidRPr="00196413">
        <w:rPr>
          <w:rFonts w:ascii="Tahoma" w:hAnsi="Tahoma" w:cs="Tahoma"/>
          <w:sz w:val="22"/>
          <w:szCs w:val="22"/>
        </w:rPr>
        <w:t xml:space="preserve">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</w:t>
      </w:r>
      <w:r w:rsidR="00313B62" w:rsidRPr="00196413">
        <w:rPr>
          <w:rFonts w:ascii="Tahoma" w:hAnsi="Tahoma" w:cs="Tahoma"/>
          <w:sz w:val="22"/>
          <w:szCs w:val="22"/>
        </w:rPr>
        <w:t>30000 рублей</w:t>
      </w:r>
      <w:r w:rsidR="00947509" w:rsidRPr="00196413">
        <w:rPr>
          <w:rFonts w:ascii="Tahoma" w:hAnsi="Tahoma" w:cs="Tahoma"/>
          <w:sz w:val="22"/>
          <w:szCs w:val="22"/>
        </w:rPr>
        <w:t>.</w:t>
      </w:r>
    </w:p>
    <w:p w:rsidR="00C35517" w:rsidRPr="00196413" w:rsidRDefault="00C35517" w:rsidP="00C35517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Ограничение на минимальную величину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  <w:vertAlign w:val="subscript"/>
          <w:lang w:val="en-US"/>
        </w:rPr>
        <w:t>min</w:t>
      </w:r>
      <w:r w:rsidRPr="00196413">
        <w:rPr>
          <w:rFonts w:ascii="Tahoma" w:hAnsi="Tahoma" w:cs="Tahoma"/>
          <w:sz w:val="22"/>
          <w:szCs w:val="22"/>
        </w:rPr>
        <w:t>) = 1000 рублей.</w:t>
      </w:r>
    </w:p>
    <w:p w:rsidR="00313B62" w:rsidRPr="00196413" w:rsidRDefault="00AD77C9" w:rsidP="00C35517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Баллы для </w:t>
      </w:r>
      <w:r w:rsidR="00947509" w:rsidRPr="00196413">
        <w:rPr>
          <w:rFonts w:ascii="Tahoma" w:hAnsi="Tahoma" w:cs="Tahoma"/>
          <w:sz w:val="22"/>
          <w:szCs w:val="22"/>
        </w:rPr>
        <w:t>Транзакций</w:t>
      </w:r>
      <w:r w:rsidR="00313B62" w:rsidRPr="00196413">
        <w:rPr>
          <w:rFonts w:ascii="Tahoma" w:hAnsi="Tahoma" w:cs="Tahoma"/>
          <w:sz w:val="22"/>
          <w:szCs w:val="22"/>
        </w:rPr>
        <w:t>:</w:t>
      </w:r>
    </w:p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947509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Тип Т</w:t>
            </w:r>
            <w:r w:rsidR="00313B62" w:rsidRPr="00196413">
              <w:rPr>
                <w:rFonts w:ascii="Tahoma" w:hAnsi="Tahoma" w:cs="Tahoma"/>
                <w:b/>
              </w:rPr>
              <w:t>ранзакции</w:t>
            </w:r>
          </w:p>
        </w:tc>
        <w:tc>
          <w:tcPr>
            <w:tcW w:w="5528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Результат выполнения (код ошибки)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Q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FOK не сведена 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 xml:space="preserve">транзакция завершена успешно, </w:t>
            </w:r>
          </w:p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и не удалено ни одной заявки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</w:tbl>
    <w:p w:rsidR="00E04D0C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lastRenderedPageBreak/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196413">
        <w:rPr>
          <w:rFonts w:ascii="Tahoma" w:hAnsi="Tahoma" w:cs="Tahoma"/>
          <w:sz w:val="22"/>
          <w:szCs w:val="22"/>
        </w:rPr>
        <w:t>Block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30000. </w:t>
      </w:r>
    </w:p>
    <w:p w:rsidR="00D2243B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25000.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 xml:space="preserve">Перечень </w:t>
      </w:r>
      <w:proofErr w:type="spellStart"/>
      <w:r w:rsidRPr="00196413">
        <w:rPr>
          <w:rFonts w:ascii="Tahoma" w:hAnsi="Tahoma" w:cs="Tahoma"/>
          <w:b/>
        </w:rPr>
        <w:t>низколиквидных</w:t>
      </w:r>
      <w:proofErr w:type="spellEnd"/>
      <w:r w:rsidRPr="00196413">
        <w:rPr>
          <w:rFonts w:ascii="Tahoma" w:hAnsi="Tahoma" w:cs="Tahoma"/>
          <w:b/>
        </w:rPr>
        <w:t xml:space="preserve"> инструментов 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>для расчёта Сбора за неэффективные транзакции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Данный перечень устанавливается решением ОАО Московская Биржа.</w:t>
      </w:r>
    </w:p>
    <w:p w:rsidR="0055263E" w:rsidRPr="00196413" w:rsidRDefault="0055263E" w:rsidP="0055263E">
      <w:pPr>
        <w:spacing w:after="0" w:line="240" w:lineRule="auto"/>
        <w:rPr>
          <w:rFonts w:ascii="Tahoma" w:hAnsi="Tahoma" w:cs="Tahoma"/>
        </w:rPr>
      </w:pPr>
    </w:p>
    <w:p w:rsidR="00B330F6" w:rsidRPr="006F0AC7" w:rsidRDefault="00B330F6" w:rsidP="00B330F6">
      <w:pPr>
        <w:pStyle w:val="ab"/>
        <w:numPr>
          <w:ilvl w:val="0"/>
          <w:numId w:val="20"/>
        </w:numPr>
        <w:spacing w:before="120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Фьючерс на аффинированную платину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украинская гривна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аффинированный палладий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обыкновенные акции ОАО Московская биржа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Siemens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Daimler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привилегированные акции </w:t>
      </w:r>
      <w:proofErr w:type="spellStart"/>
      <w:r w:rsidRPr="006F0AC7">
        <w:rPr>
          <w:rFonts w:ascii="Tahoma" w:hAnsi="Tahoma" w:cs="Tahoma"/>
          <w:color w:val="000000"/>
        </w:rPr>
        <w:t>Volkswagen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обыкновенные акции BMW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Deutsche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австралийский доллар – доллар США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фунт стерлингов – доллар США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курс доллар США – </w:t>
      </w:r>
      <w:proofErr w:type="gramStart"/>
      <w:r w:rsidRPr="006F0AC7">
        <w:rPr>
          <w:rFonts w:ascii="Tahoma" w:hAnsi="Tahoma" w:cs="Tahoma"/>
          <w:color w:val="000000"/>
        </w:rPr>
        <w:t>японская</w:t>
      </w:r>
      <w:proofErr w:type="gramEnd"/>
      <w:r w:rsidRPr="006F0AC7">
        <w:rPr>
          <w:rFonts w:ascii="Tahoma" w:hAnsi="Tahoma" w:cs="Tahoma"/>
          <w:color w:val="000000"/>
        </w:rPr>
        <w:t xml:space="preserve"> йена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 на курс доллар США – швейцарский франк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китайский юань – российский рубль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канадский доллар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турецкая лира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Индекс ММВБ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Опцион на фьючерс на сырую нефть сорта </w:t>
      </w:r>
      <w:proofErr w:type="spellStart"/>
      <w:r w:rsidRPr="006F0AC7">
        <w:rPr>
          <w:rFonts w:ascii="Tahoma" w:hAnsi="Tahoma" w:cs="Tahoma"/>
          <w:color w:val="000000"/>
        </w:rPr>
        <w:t>Brent</w:t>
      </w:r>
      <w:proofErr w:type="spellEnd"/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аффинированное серебро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евро – российский рубль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Опцион на фьючерс на курс евро – доллар США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ГМК "Норильский Никель"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"НК "Роснефть"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"Сургутнефтегаз"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привилегированные акции ОАО "</w:t>
      </w:r>
      <w:proofErr w:type="spellStart"/>
      <w:r w:rsidRPr="006F0AC7">
        <w:rPr>
          <w:rFonts w:ascii="Tahoma" w:hAnsi="Tahoma" w:cs="Tahoma"/>
        </w:rPr>
        <w:t>Транснефть</w:t>
      </w:r>
      <w:proofErr w:type="spellEnd"/>
      <w:r w:rsidRPr="006F0AC7">
        <w:rPr>
          <w:rFonts w:ascii="Tahoma" w:hAnsi="Tahoma" w:cs="Tahoma"/>
        </w:rPr>
        <w:t>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 на фьючерс на обыкновенные акции ОАО "Банк ВТБ"</w:t>
      </w:r>
    </w:p>
    <w:p w:rsidR="0055263E" w:rsidRPr="00196413" w:rsidRDefault="0055263E" w:rsidP="002E5AC2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</w:p>
    <w:sectPr w:rsidR="0055263E" w:rsidRPr="00196413" w:rsidSect="008705F7">
      <w:footerReference w:type="default" r:id="rId9"/>
      <w:headerReference w:type="first" r:id="rId10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3C" w:rsidRDefault="0047483C">
      <w:r>
        <w:separator/>
      </w:r>
    </w:p>
  </w:endnote>
  <w:endnote w:type="continuationSeparator" w:id="0">
    <w:p w:rsidR="0047483C" w:rsidRDefault="004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3C" w:rsidRDefault="0047483C">
      <w:r>
        <w:separator/>
      </w:r>
    </w:p>
  </w:footnote>
  <w:footnote w:type="continuationSeparator" w:id="0">
    <w:p w:rsidR="0047483C" w:rsidRDefault="0047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1463A"/>
    <w:rsid w:val="00115B9A"/>
    <w:rsid w:val="00152DDF"/>
    <w:rsid w:val="0016045A"/>
    <w:rsid w:val="00163D82"/>
    <w:rsid w:val="00181560"/>
    <w:rsid w:val="00190368"/>
    <w:rsid w:val="00196413"/>
    <w:rsid w:val="001C3A22"/>
    <w:rsid w:val="001E0FB0"/>
    <w:rsid w:val="001E6D4A"/>
    <w:rsid w:val="001F0A98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4B00"/>
    <w:rsid w:val="002F579C"/>
    <w:rsid w:val="00304BEA"/>
    <w:rsid w:val="00313B62"/>
    <w:rsid w:val="00327E04"/>
    <w:rsid w:val="003653E2"/>
    <w:rsid w:val="00374120"/>
    <w:rsid w:val="00376A37"/>
    <w:rsid w:val="003846D4"/>
    <w:rsid w:val="003C4BD5"/>
    <w:rsid w:val="003C6D8A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7483C"/>
    <w:rsid w:val="004812E1"/>
    <w:rsid w:val="00487F3E"/>
    <w:rsid w:val="004A19E2"/>
    <w:rsid w:val="004A2CD9"/>
    <w:rsid w:val="004C6D33"/>
    <w:rsid w:val="004E7EBB"/>
    <w:rsid w:val="005021C5"/>
    <w:rsid w:val="0050576D"/>
    <w:rsid w:val="00527D3E"/>
    <w:rsid w:val="00542EE3"/>
    <w:rsid w:val="005439BE"/>
    <w:rsid w:val="0055263E"/>
    <w:rsid w:val="00583A38"/>
    <w:rsid w:val="005C7EE8"/>
    <w:rsid w:val="005D09A3"/>
    <w:rsid w:val="005D1002"/>
    <w:rsid w:val="00616278"/>
    <w:rsid w:val="00626107"/>
    <w:rsid w:val="00641C79"/>
    <w:rsid w:val="00643B95"/>
    <w:rsid w:val="00645FAE"/>
    <w:rsid w:val="00657748"/>
    <w:rsid w:val="00695C43"/>
    <w:rsid w:val="006A22D3"/>
    <w:rsid w:val="006A4BD7"/>
    <w:rsid w:val="006C1181"/>
    <w:rsid w:val="006E17CE"/>
    <w:rsid w:val="0070034F"/>
    <w:rsid w:val="007012F8"/>
    <w:rsid w:val="007069D5"/>
    <w:rsid w:val="00736D4B"/>
    <w:rsid w:val="0078211C"/>
    <w:rsid w:val="007B1787"/>
    <w:rsid w:val="007C1E38"/>
    <w:rsid w:val="007C44D2"/>
    <w:rsid w:val="007C6EC5"/>
    <w:rsid w:val="007E2E33"/>
    <w:rsid w:val="00854789"/>
    <w:rsid w:val="00865FD1"/>
    <w:rsid w:val="008705F7"/>
    <w:rsid w:val="0087664B"/>
    <w:rsid w:val="008D0BB1"/>
    <w:rsid w:val="008D3339"/>
    <w:rsid w:val="008D5B6F"/>
    <w:rsid w:val="00901D66"/>
    <w:rsid w:val="0090631E"/>
    <w:rsid w:val="00916370"/>
    <w:rsid w:val="00945875"/>
    <w:rsid w:val="00947509"/>
    <w:rsid w:val="00970335"/>
    <w:rsid w:val="00977FA4"/>
    <w:rsid w:val="00985824"/>
    <w:rsid w:val="0098678E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C5A0B"/>
    <w:rsid w:val="00AD1F35"/>
    <w:rsid w:val="00AD77C9"/>
    <w:rsid w:val="00AF3232"/>
    <w:rsid w:val="00B039C8"/>
    <w:rsid w:val="00B12EFA"/>
    <w:rsid w:val="00B330F6"/>
    <w:rsid w:val="00B6004E"/>
    <w:rsid w:val="00B84721"/>
    <w:rsid w:val="00BA62D4"/>
    <w:rsid w:val="00BD5DE2"/>
    <w:rsid w:val="00BE0DB7"/>
    <w:rsid w:val="00BE15B0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A04C9"/>
    <w:rsid w:val="00CA646E"/>
    <w:rsid w:val="00CB734E"/>
    <w:rsid w:val="00CE1463"/>
    <w:rsid w:val="00CF518B"/>
    <w:rsid w:val="00D2243B"/>
    <w:rsid w:val="00D34DE7"/>
    <w:rsid w:val="00D60243"/>
    <w:rsid w:val="00D92BD7"/>
    <w:rsid w:val="00DA6753"/>
    <w:rsid w:val="00DC4429"/>
    <w:rsid w:val="00DE222D"/>
    <w:rsid w:val="00E04D0C"/>
    <w:rsid w:val="00E07658"/>
    <w:rsid w:val="00E34426"/>
    <w:rsid w:val="00E41737"/>
    <w:rsid w:val="00E5224B"/>
    <w:rsid w:val="00E53007"/>
    <w:rsid w:val="00E737AA"/>
    <w:rsid w:val="00E80DE1"/>
    <w:rsid w:val="00E83566"/>
    <w:rsid w:val="00EA0C8D"/>
    <w:rsid w:val="00EB6274"/>
    <w:rsid w:val="00EC7FD1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A5691"/>
    <w:rsid w:val="00FA6FB4"/>
    <w:rsid w:val="00FB00A3"/>
    <w:rsid w:val="00FD3212"/>
    <w:rsid w:val="00FD4231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B746-5E47-403D-8578-57B9375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3364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Дюкель Олег Александрович</cp:lastModifiedBy>
  <cp:revision>3</cp:revision>
  <cp:lastPrinted>2013-05-27T11:59:00Z</cp:lastPrinted>
  <dcterms:created xsi:type="dcterms:W3CDTF">2015-02-16T13:53:00Z</dcterms:created>
  <dcterms:modified xsi:type="dcterms:W3CDTF">2015-02-16T14:01:00Z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