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2BD" w:rsidRPr="0008303A" w:rsidRDefault="004762BD" w:rsidP="004762BD">
      <w:pPr>
        <w:pStyle w:val="ad"/>
        <w:spacing w:after="0"/>
        <w:ind w:left="5670" w:right="-79"/>
        <w:rPr>
          <w:rFonts w:ascii="Tahoma" w:hAnsi="Tahoma" w:cs="Tahoma"/>
          <w:b/>
          <w:bCs/>
          <w:sz w:val="22"/>
          <w:szCs w:val="22"/>
          <w:lang w:val="en-US"/>
        </w:rPr>
      </w:pPr>
      <w:r w:rsidRPr="0008303A">
        <w:rPr>
          <w:rFonts w:ascii="Tahoma" w:hAnsi="Tahoma" w:cs="Tahoma"/>
          <w:b/>
          <w:bCs/>
          <w:sz w:val="22"/>
          <w:szCs w:val="22"/>
          <w:lang w:val="en-US"/>
        </w:rPr>
        <w:t xml:space="preserve">APPROVED </w:t>
      </w:r>
    </w:p>
    <w:p w:rsidR="004762BD" w:rsidRPr="0008303A" w:rsidRDefault="004762BD" w:rsidP="004762BD">
      <w:pPr>
        <w:pStyle w:val="ad"/>
        <w:spacing w:after="0"/>
        <w:ind w:left="5670" w:right="-79"/>
        <w:rPr>
          <w:rFonts w:ascii="Tahoma" w:hAnsi="Tahoma" w:cs="Tahoma"/>
          <w:bCs/>
          <w:sz w:val="22"/>
          <w:szCs w:val="22"/>
          <w:lang w:val="en-US"/>
        </w:rPr>
      </w:pPr>
      <w:proofErr w:type="gramStart"/>
      <w:r w:rsidRPr="0008303A">
        <w:rPr>
          <w:rFonts w:ascii="Tahoma" w:hAnsi="Tahoma" w:cs="Tahoma"/>
          <w:bCs/>
          <w:sz w:val="22"/>
          <w:szCs w:val="22"/>
          <w:lang w:val="en-US"/>
        </w:rPr>
        <w:t>by</w:t>
      </w:r>
      <w:proofErr w:type="gramEnd"/>
      <w:r w:rsidRPr="0008303A">
        <w:rPr>
          <w:rFonts w:ascii="Tahoma" w:hAnsi="Tahoma" w:cs="Tahoma"/>
          <w:bCs/>
          <w:sz w:val="22"/>
          <w:szCs w:val="22"/>
          <w:lang w:val="en-US"/>
        </w:rPr>
        <w:t xml:space="preserve"> the Executive Board of </w:t>
      </w:r>
    </w:p>
    <w:p w:rsidR="004762BD" w:rsidRPr="0008303A" w:rsidRDefault="004762BD" w:rsidP="004762BD">
      <w:pPr>
        <w:pStyle w:val="ad"/>
        <w:spacing w:after="0"/>
        <w:ind w:left="5670" w:right="-79"/>
        <w:rPr>
          <w:rFonts w:ascii="Tahoma" w:hAnsi="Tahoma" w:cs="Tahoma"/>
          <w:bCs/>
          <w:sz w:val="22"/>
          <w:szCs w:val="22"/>
          <w:lang w:val="en-US"/>
        </w:rPr>
      </w:pPr>
      <w:r w:rsidRPr="0008303A">
        <w:rPr>
          <w:rFonts w:ascii="Tahoma" w:hAnsi="Tahoma" w:cs="Tahoma"/>
          <w:bCs/>
          <w:sz w:val="22"/>
          <w:szCs w:val="22"/>
          <w:lang w:val="en-US"/>
        </w:rPr>
        <w:t xml:space="preserve">Open Joint-Stock Company </w:t>
      </w:r>
    </w:p>
    <w:p w:rsidR="004762BD" w:rsidRPr="0008303A" w:rsidRDefault="004762BD" w:rsidP="004762BD">
      <w:pPr>
        <w:pStyle w:val="ad"/>
        <w:spacing w:after="0"/>
        <w:ind w:left="5670" w:right="-79"/>
        <w:rPr>
          <w:rFonts w:ascii="Tahoma" w:hAnsi="Tahoma" w:cs="Tahoma"/>
          <w:bCs/>
          <w:sz w:val="22"/>
          <w:szCs w:val="22"/>
          <w:lang w:val="en-US"/>
        </w:rPr>
      </w:pPr>
      <w:r w:rsidRPr="0008303A">
        <w:rPr>
          <w:rFonts w:ascii="Tahoma" w:hAnsi="Tahoma" w:cs="Tahoma"/>
          <w:bCs/>
          <w:sz w:val="22"/>
          <w:szCs w:val="22"/>
          <w:lang w:val="en-US"/>
        </w:rPr>
        <w:t>“Moscow Exchange MICEX-RTS”</w:t>
      </w:r>
    </w:p>
    <w:p w:rsidR="004762BD" w:rsidRPr="0008303A" w:rsidRDefault="004762BD" w:rsidP="004762BD">
      <w:pPr>
        <w:pStyle w:val="ad"/>
        <w:spacing w:after="0"/>
        <w:ind w:left="5670" w:right="-79"/>
        <w:rPr>
          <w:rFonts w:ascii="Tahoma" w:hAnsi="Tahoma" w:cs="Tahoma"/>
          <w:sz w:val="22"/>
          <w:szCs w:val="22"/>
          <w:lang w:val="en-US"/>
        </w:rPr>
      </w:pPr>
      <w:r w:rsidRPr="0008303A">
        <w:rPr>
          <w:rFonts w:ascii="Tahoma" w:hAnsi="Tahoma" w:cs="Tahoma"/>
          <w:bCs/>
          <w:sz w:val="22"/>
          <w:szCs w:val="22"/>
          <w:lang w:val="en-US"/>
        </w:rPr>
        <w:t>(Minutes No 63 as of 17 July 2013)</w:t>
      </w:r>
    </w:p>
    <w:p w:rsidR="004762BD" w:rsidRPr="0008303A" w:rsidRDefault="004762BD" w:rsidP="004762BD">
      <w:pPr>
        <w:pStyle w:val="a5"/>
        <w:spacing w:before="0" w:after="0"/>
        <w:ind w:left="6237"/>
        <w:jc w:val="both"/>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 xml:space="preserve">Moscow Exchange (the Exchange) sets the following parameters for deliverable futures on shares of Russian issuers: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lot.</w:t>
      </w: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0"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0"/>
    </w:p>
    <w:p w:rsidR="004762BD" w:rsidRPr="0008303A" w:rsidRDefault="004762BD" w:rsidP="0008303A">
      <w:pPr>
        <w:pStyle w:val="1"/>
        <w:numPr>
          <w:ilvl w:val="2"/>
          <w:numId w:val="15"/>
        </w:numPr>
        <w:rPr>
          <w:rFonts w:ascii="Tahoma" w:hAnsi="Tahoma" w:cs="Tahoma"/>
          <w:sz w:val="22"/>
          <w:szCs w:val="22"/>
        </w:rPr>
      </w:pPr>
      <w:proofErr w:type="spellStart"/>
      <w:r w:rsidRPr="0008303A">
        <w:rPr>
          <w:rFonts w:ascii="Tahoma" w:hAnsi="Tahoma" w:cs="Tahoma"/>
          <w:sz w:val="22"/>
          <w:szCs w:val="22"/>
        </w:rPr>
        <w:t>Contract</w:t>
      </w:r>
      <w:proofErr w:type="spellEnd"/>
      <w:r w:rsidRPr="0008303A">
        <w:rPr>
          <w:rFonts w:ascii="Tahoma" w:hAnsi="Tahoma" w:cs="Tahoma"/>
          <w:sz w:val="22"/>
          <w:szCs w:val="22"/>
        </w:rPr>
        <w:t xml:space="preserve"> </w:t>
      </w:r>
      <w:proofErr w:type="spellStart"/>
      <w:r w:rsidRPr="0008303A">
        <w:rPr>
          <w:rFonts w:ascii="Tahoma" w:hAnsi="Tahoma" w:cs="Tahoma"/>
          <w:sz w:val="22"/>
          <w:szCs w:val="22"/>
        </w:rPr>
        <w:t>code</w:t>
      </w:r>
      <w:proofErr w:type="spellEnd"/>
      <w:r w:rsidRPr="0008303A">
        <w:rPr>
          <w:rFonts w:ascii="Tahoma" w:hAnsi="Tahoma" w:cs="Tahoma"/>
          <w:sz w:val="22"/>
          <w:szCs w:val="22"/>
        </w:rPr>
        <w:t xml:space="preserve"> (</w:t>
      </w:r>
      <w:proofErr w:type="spellStart"/>
      <w:r w:rsidRPr="0008303A">
        <w:rPr>
          <w:rFonts w:ascii="Tahoma" w:hAnsi="Tahoma" w:cs="Tahoma"/>
          <w:sz w:val="22"/>
          <w:szCs w:val="22"/>
        </w:rPr>
        <w:t>designation</w:t>
      </w:r>
      <w:proofErr w:type="spellEnd"/>
      <w:r w:rsidRPr="0008303A">
        <w:rPr>
          <w:rFonts w:ascii="Tahoma" w:hAnsi="Tahoma" w:cs="Tahoma"/>
          <w:sz w:val="22"/>
          <w:szCs w:val="22"/>
        </w:rPr>
        <w:t>);</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Initial Settlement Price of the Contract;</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Initial price fluctuation limits for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r w:rsidR="00B429B2" w:rsidRPr="0008303A">
        <w:rPr>
          <w:rFonts w:ascii="Tahoma" w:hAnsi="Tahoma" w:cs="Tahoma"/>
          <w:b w:val="0"/>
          <w:sz w:val="22"/>
          <w:szCs w:val="22"/>
          <w:lang w:val="en-US"/>
        </w:rPr>
        <w:t>&gt;.&lt;</w:t>
      </w:r>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r w:rsidR="00B429B2" w:rsidRPr="0008303A">
        <w:rPr>
          <w:rFonts w:ascii="Tahoma" w:hAnsi="Tahoma" w:cs="Tahoma"/>
          <w:b w:val="0"/>
          <w:sz w:val="22"/>
          <w:szCs w:val="22"/>
          <w:lang w:val="en-US"/>
        </w:rPr>
        <w:t>&gt;.&lt;</w:t>
      </w:r>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303A">
        <w:rPr>
          <w:rFonts w:ascii="Tahoma" w:hAnsi="Tahoma" w:cs="Tahoma"/>
          <w:sz w:val="22"/>
          <w:szCs w:val="22"/>
          <w:lang w:val="en-US"/>
        </w:rPr>
        <w:fldChar w:fldCharType="begin"/>
      </w:r>
      <w:r w:rsidR="0008303A">
        <w:rPr>
          <w:rFonts w:ascii="Tahoma" w:hAnsi="Tahoma" w:cs="Tahoma"/>
          <w:sz w:val="22"/>
          <w:szCs w:val="22"/>
          <w:lang w:val="en-US"/>
        </w:rPr>
        <w:instrText xml:space="preserve"> REF _Ref369190314 \r \h </w:instrText>
      </w:r>
      <w:r w:rsidR="0008303A">
        <w:rPr>
          <w:rFonts w:ascii="Tahoma" w:hAnsi="Tahoma" w:cs="Tahoma"/>
          <w:sz w:val="22"/>
          <w:szCs w:val="22"/>
          <w:lang w:val="en-US"/>
        </w:rPr>
      </w:r>
      <w:r w:rsidR="0008303A">
        <w:rPr>
          <w:rFonts w:ascii="Tahoma" w:hAnsi="Tahoma" w:cs="Tahoma"/>
          <w:sz w:val="22"/>
          <w:szCs w:val="22"/>
          <w:lang w:val="en-US"/>
        </w:rPr>
        <w:fldChar w:fldCharType="separate"/>
      </w:r>
      <w:r w:rsidR="0008303A">
        <w:rPr>
          <w:rFonts w:ascii="Tahoma" w:hAnsi="Tahoma" w:cs="Tahoma"/>
          <w:sz w:val="22"/>
          <w:szCs w:val="22"/>
          <w:lang w:val="en-US"/>
        </w:rPr>
        <w:t>6.2.1</w:t>
      </w:r>
      <w:r w:rsidR="0008303A">
        <w:rPr>
          <w:rFonts w:ascii="Tahoma" w:hAnsi="Tahoma" w:cs="Tahoma"/>
          <w:sz w:val="22"/>
          <w:szCs w:val="22"/>
          <w:lang w:val="en-US"/>
        </w:rPr>
        <w:fldChar w:fldCharType="end"/>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Contract price.</w:t>
      </w:r>
    </w:p>
    <w:p w:rsidR="004762BD" w:rsidRPr="0008303A" w:rsidRDefault="004762BD" w:rsidP="004762BD">
      <w:pPr>
        <w:pStyle w:val="1"/>
        <w:rPr>
          <w:rFonts w:ascii="Tahoma" w:hAnsi="Tahoma" w:cs="Tahoma"/>
          <w:color w:val="auto"/>
          <w:sz w:val="22"/>
          <w:szCs w:val="22"/>
          <w:lang w:val="en-US"/>
        </w:rPr>
      </w:pPr>
      <w:r w:rsidRPr="0008303A">
        <w:rPr>
          <w:rFonts w:ascii="Tahoma" w:hAnsi="Tahoma" w:cs="Tahoma"/>
          <w:sz w:val="22"/>
          <w:szCs w:val="22"/>
          <w:lang w:val="en-US"/>
        </w:rPr>
        <w:t>The Contract Price in the process of trading when placing an order and concluding the Contract shall be specified in Russian rubles per Lot</w:t>
      </w:r>
      <w:r w:rsidRPr="0008303A">
        <w:rPr>
          <w:rFonts w:ascii="Tahoma" w:hAnsi="Tahoma" w:cs="Tahoma"/>
          <w:color w:val="auto"/>
          <w:sz w:val="22"/>
          <w:szCs w:val="22"/>
          <w:lang w:val="en-US"/>
        </w:rPr>
        <w:t>.</w:t>
      </w:r>
    </w:p>
    <w:p w:rsidR="004762BD" w:rsidRPr="0008303A" w:rsidRDefault="004762BD" w:rsidP="004762BD">
      <w:pPr>
        <w:pStyle w:val="1"/>
        <w:rPr>
          <w:rFonts w:ascii="Tahoma" w:hAnsi="Tahoma" w:cs="Tahoma"/>
          <w:color w:val="auto"/>
          <w:sz w:val="22"/>
          <w:szCs w:val="22"/>
          <w:lang w:val="en-US"/>
        </w:rPr>
      </w:pPr>
      <w:r w:rsidRPr="0008303A">
        <w:rPr>
          <w:rFonts w:ascii="Tahoma" w:hAnsi="Tahoma" w:cs="Tahoma"/>
          <w:sz w:val="22"/>
          <w:szCs w:val="22"/>
          <w:lang w:val="en-US"/>
        </w:rPr>
        <w:t>The minimum Contract Price fluctuation in the process of trading (hereinafter “the tick”) shall be one (1) Russian ruble</w:t>
      </w:r>
      <w:r w:rsidRPr="0008303A">
        <w:rPr>
          <w:rFonts w:ascii="Tahoma" w:hAnsi="Tahoma" w:cs="Tahoma"/>
          <w:color w:val="auto"/>
          <w:sz w:val="22"/>
          <w:szCs w:val="22"/>
          <w:lang w:val="en-US"/>
        </w:rPr>
        <w:t>.</w:t>
      </w:r>
    </w:p>
    <w:p w:rsidR="004762BD" w:rsidRPr="0008303A" w:rsidRDefault="004762BD" w:rsidP="004762BD">
      <w:pPr>
        <w:pStyle w:val="1"/>
        <w:rPr>
          <w:rFonts w:ascii="Tahoma" w:hAnsi="Tahoma" w:cs="Tahoma"/>
          <w:sz w:val="22"/>
          <w:szCs w:val="22"/>
          <w:lang w:val="en-US"/>
        </w:rPr>
      </w:pPr>
      <w:r w:rsidRPr="0008303A">
        <w:rPr>
          <w:rFonts w:ascii="Tahoma" w:hAnsi="Tahoma" w:cs="Tahoma"/>
          <w:sz w:val="22"/>
          <w:szCs w:val="22"/>
          <w:lang w:val="en-US"/>
        </w:rPr>
        <w:t>The value of the tick shall be one (1) Russian ruble.</w:t>
      </w:r>
    </w:p>
    <w:p w:rsidR="004762BD" w:rsidRPr="0008303A" w:rsidRDefault="004762BD" w:rsidP="00B429B2">
      <w:pPr>
        <w:pStyle w:val="a0"/>
        <w:tabs>
          <w:tab w:val="clear" w:pos="4537"/>
          <w:tab w:val="left" w:pos="567"/>
        </w:tabs>
        <w:spacing w:before="120" w:after="0"/>
        <w:ind w:left="567"/>
        <w:rPr>
          <w:rFonts w:ascii="Tahoma" w:hAnsi="Tahoma" w:cs="Tahoma"/>
          <w:bCs/>
          <w:sz w:val="22"/>
          <w:szCs w:val="22"/>
          <w:lang w:val="en-US"/>
        </w:rPr>
      </w:pPr>
      <w:bookmarkStart w:id="1" w:name="_Ref231714566"/>
      <w:r w:rsidRPr="0008303A">
        <w:rPr>
          <w:rFonts w:ascii="Tahoma" w:hAnsi="Tahoma" w:cs="Tahoma"/>
          <w:bCs/>
          <w:sz w:val="22"/>
          <w:szCs w:val="22"/>
          <w:lang w:val="en-US"/>
        </w:rPr>
        <w:t xml:space="preserve">Unless otherwise provided for by the Exchange’s resolution specified in Clause </w:t>
      </w:r>
      <w:r w:rsidR="0008303A">
        <w:rPr>
          <w:rFonts w:ascii="Tahoma" w:hAnsi="Tahoma" w:cs="Tahoma"/>
          <w:bCs/>
          <w:sz w:val="22"/>
          <w:szCs w:val="22"/>
          <w:lang w:val="en-US"/>
        </w:rPr>
        <w:fldChar w:fldCharType="begin"/>
      </w:r>
      <w:r w:rsidR="0008303A">
        <w:rPr>
          <w:rFonts w:ascii="Tahoma" w:hAnsi="Tahoma" w:cs="Tahoma"/>
          <w:bCs/>
          <w:sz w:val="22"/>
          <w:szCs w:val="22"/>
          <w:lang w:val="en-US"/>
        </w:rPr>
        <w:instrText xml:space="preserve"> REF _Ref369190323 \r \h </w:instrText>
      </w:r>
      <w:r w:rsidR="0008303A">
        <w:rPr>
          <w:rFonts w:ascii="Tahoma" w:hAnsi="Tahoma" w:cs="Tahoma"/>
          <w:bCs/>
          <w:sz w:val="22"/>
          <w:szCs w:val="22"/>
          <w:lang w:val="en-US"/>
        </w:rPr>
      </w:r>
      <w:r w:rsidR="0008303A">
        <w:rPr>
          <w:rFonts w:ascii="Tahoma" w:hAnsi="Tahoma" w:cs="Tahoma"/>
          <w:bCs/>
          <w:sz w:val="22"/>
          <w:szCs w:val="22"/>
          <w:lang w:val="en-US"/>
        </w:rPr>
        <w:fldChar w:fldCharType="separate"/>
      </w:r>
      <w:r w:rsidR="0008303A">
        <w:rPr>
          <w:rFonts w:ascii="Tahoma" w:hAnsi="Tahoma" w:cs="Tahoma"/>
          <w:bCs/>
          <w:sz w:val="22"/>
          <w:szCs w:val="22"/>
          <w:lang w:val="en-US"/>
        </w:rPr>
        <w:t>1.1</w:t>
      </w:r>
      <w:r w:rsidR="0008303A">
        <w:rPr>
          <w:rFonts w:ascii="Tahoma" w:hAnsi="Tahoma" w:cs="Tahoma"/>
          <w:bCs/>
          <w:sz w:val="22"/>
          <w:szCs w:val="22"/>
          <w:lang w:val="en-US"/>
        </w:rPr>
        <w:fldChar w:fldCharType="end"/>
      </w:r>
      <w:r w:rsidR="0008303A">
        <w:rPr>
          <w:rFonts w:ascii="Tahoma" w:hAnsi="Tahoma" w:cs="Tahoma"/>
          <w:bCs/>
          <w:sz w:val="22"/>
          <w:szCs w:val="22"/>
          <w:lang w:val="en-US"/>
        </w:rPr>
        <w:t xml:space="preserve"> </w:t>
      </w:r>
      <w:r w:rsidRPr="0008303A">
        <w:rPr>
          <w:rFonts w:ascii="Tahoma" w:hAnsi="Tahoma" w:cs="Tahoma"/>
          <w:bCs/>
          <w:sz w:val="22"/>
          <w:szCs w:val="22"/>
          <w:lang w:val="en-US"/>
        </w:rPr>
        <w:t>hereof, the last Trading day for the Contract (hereinafter the Contract’s last trading day) shall be the Trading day preceding the 15th (the fifteenth) day of the Contract’s settlement month of the settlement year.</w:t>
      </w:r>
    </w:p>
    <w:bookmarkEnd w:id="1"/>
    <w:p w:rsidR="004762BD" w:rsidRPr="0008303A" w:rsidRDefault="00B429B2" w:rsidP="004762BD">
      <w:pPr>
        <w:pStyle w:val="a"/>
        <w:spacing w:before="240" w:after="0"/>
        <w:rPr>
          <w:rFonts w:ascii="Tahoma" w:hAnsi="Tahoma" w:cs="Tahoma"/>
          <w:sz w:val="22"/>
          <w:szCs w:val="22"/>
          <w:lang w:val="en-US"/>
        </w:rPr>
      </w:pPr>
      <w:r w:rsidRPr="0008303A">
        <w:rPr>
          <w:rFonts w:ascii="Tahoma" w:hAnsi="Tahoma" w:cs="Tahoma"/>
          <w:sz w:val="22"/>
          <w:szCs w:val="22"/>
          <w:lang w:val="en-US"/>
        </w:rPr>
        <w:t>Variation Margin Obligations</w:t>
      </w:r>
    </w:p>
    <w:p w:rsidR="004762BD" w:rsidRPr="0008303A" w:rsidRDefault="004762BD" w:rsidP="004762BD">
      <w:pPr>
        <w:pStyle w:val="a0"/>
        <w:tabs>
          <w:tab w:val="left" w:pos="567"/>
        </w:tabs>
        <w:spacing w:before="120" w:after="0"/>
        <w:ind w:left="567"/>
        <w:rPr>
          <w:rFonts w:ascii="Tahoma" w:hAnsi="Tahoma" w:cs="Tahoma"/>
          <w:bCs/>
          <w:sz w:val="22"/>
          <w:szCs w:val="22"/>
          <w:lang w:val="en-US"/>
        </w:rPr>
      </w:pPr>
      <w:r w:rsidRPr="0008303A">
        <w:rPr>
          <w:rFonts w:ascii="Tahoma" w:hAnsi="Tahoma" w:cs="Tahoma"/>
          <w:bCs/>
          <w:sz w:val="22"/>
          <w:szCs w:val="22"/>
          <w:lang w:val="en-US"/>
        </w:rPr>
        <w:t>The Parties to the Contract shall pay cash (variation margin) to each other in the amount depending on the changes in the value of the underlying asset.</w:t>
      </w:r>
    </w:p>
    <w:p w:rsidR="004762BD" w:rsidRPr="0008303A" w:rsidRDefault="004762BD" w:rsidP="004762BD">
      <w:pPr>
        <w:pStyle w:val="a0"/>
        <w:tabs>
          <w:tab w:val="left" w:pos="567"/>
        </w:tabs>
        <w:spacing w:before="120" w:after="0"/>
        <w:ind w:left="567"/>
        <w:rPr>
          <w:rFonts w:ascii="Tahoma" w:hAnsi="Tahoma" w:cs="Tahoma"/>
          <w:bCs/>
          <w:sz w:val="22"/>
          <w:szCs w:val="22"/>
          <w:lang w:val="en-US"/>
        </w:rPr>
      </w:pPr>
      <w:r w:rsidRPr="0008303A">
        <w:rPr>
          <w:rFonts w:ascii="Tahoma" w:hAnsi="Tahoma" w:cs="Tahoma"/>
          <w:bCs/>
          <w:sz w:val="22"/>
          <w:szCs w:val="22"/>
          <w:lang w:val="en-US"/>
        </w:rPr>
        <w:t xml:space="preserve">The variation margin shall be calculated and paid throughout the period starting from the </w:t>
      </w:r>
      <w:r w:rsidR="00B429B2" w:rsidRPr="0008303A">
        <w:rPr>
          <w:rFonts w:ascii="Tahoma" w:hAnsi="Tahoma" w:cs="Tahoma"/>
          <w:bCs/>
          <w:sz w:val="22"/>
          <w:szCs w:val="22"/>
          <w:lang w:val="en-US"/>
        </w:rPr>
        <w:t xml:space="preserve">Contract’s </w:t>
      </w:r>
      <w:r w:rsidRPr="0008303A">
        <w:rPr>
          <w:rFonts w:ascii="Tahoma" w:hAnsi="Tahoma" w:cs="Tahoma"/>
          <w:bCs/>
          <w:sz w:val="22"/>
          <w:szCs w:val="22"/>
          <w:lang w:val="en-US"/>
        </w:rPr>
        <w:t xml:space="preserve">first trading day to </w:t>
      </w:r>
      <w:r w:rsidR="00B429B2" w:rsidRPr="0008303A">
        <w:rPr>
          <w:rFonts w:ascii="Tahoma" w:hAnsi="Tahoma" w:cs="Tahoma"/>
          <w:bCs/>
          <w:sz w:val="22"/>
          <w:szCs w:val="22"/>
          <w:lang w:val="en-US"/>
        </w:rPr>
        <w:t>its last trading day.</w:t>
      </w:r>
      <w:r w:rsidRPr="0008303A">
        <w:rPr>
          <w:rFonts w:ascii="Tahoma" w:hAnsi="Tahoma" w:cs="Tahoma"/>
          <w:sz w:val="22"/>
          <w:szCs w:val="22"/>
          <w:lang w:val="en-US"/>
        </w:rPr>
        <w:t xml:space="preserve"> </w:t>
      </w:r>
    </w:p>
    <w:p w:rsidR="004762BD" w:rsidRPr="0008303A" w:rsidRDefault="004762BD" w:rsidP="004762BD">
      <w:pPr>
        <w:pStyle w:val="a0"/>
        <w:tabs>
          <w:tab w:val="left" w:pos="567"/>
        </w:tabs>
        <w:spacing w:before="120" w:after="0"/>
        <w:ind w:left="567"/>
        <w:rPr>
          <w:rFonts w:ascii="Tahoma" w:hAnsi="Tahoma" w:cs="Tahoma"/>
          <w:bCs/>
          <w:sz w:val="22"/>
          <w:szCs w:val="22"/>
          <w:lang w:val="en-US"/>
        </w:rPr>
      </w:pPr>
      <w:bookmarkStart w:id="2" w:name="_Ref369190333"/>
      <w:r w:rsidRPr="0008303A">
        <w:rPr>
          <w:rFonts w:ascii="Tahoma" w:hAnsi="Tahoma" w:cs="Tahoma"/>
          <w:bCs/>
          <w:sz w:val="22"/>
          <w:szCs w:val="22"/>
          <w:lang w:val="en-US"/>
        </w:rPr>
        <w:t>The variation margin shall be calculated pursuant to the following formulae:</w:t>
      </w:r>
      <w:bookmarkEnd w:id="2"/>
    </w:p>
    <w:p w:rsidR="004762BD" w:rsidRPr="0008303A" w:rsidRDefault="004762BD" w:rsidP="004762BD">
      <w:pPr>
        <w:pStyle w:val="Texttabtab"/>
        <w:rPr>
          <w:rFonts w:ascii="Tahoma" w:hAnsi="Tahoma" w:cs="Tahoma"/>
          <w:iCs w:val="0"/>
          <w:sz w:val="22"/>
          <w:szCs w:val="22"/>
          <w:lang w:val="en-US" w:eastAsia="en-US"/>
        </w:rPr>
      </w:pP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VМо</w:t>
      </w:r>
      <w:proofErr w:type="spellEnd"/>
      <w:r w:rsidRPr="0008303A">
        <w:rPr>
          <w:rFonts w:ascii="Tahoma" w:hAnsi="Tahoma" w:cs="Tahoma"/>
          <w:iCs w:val="0"/>
          <w:sz w:val="22"/>
          <w:szCs w:val="22"/>
          <w:lang w:val="en-US" w:eastAsia="en-US"/>
        </w:rPr>
        <w:t xml:space="preserve"> = (</w:t>
      </w:r>
      <w:proofErr w:type="spellStart"/>
      <w:r w:rsidRPr="0008303A">
        <w:rPr>
          <w:rFonts w:ascii="Tahoma" w:hAnsi="Tahoma" w:cs="Tahoma"/>
          <w:iCs w:val="0"/>
          <w:sz w:val="22"/>
          <w:szCs w:val="22"/>
          <w:lang w:val="en-US" w:eastAsia="en-US"/>
        </w:rPr>
        <w:t>SPt</w:t>
      </w:r>
      <w:proofErr w:type="spellEnd"/>
      <w:r w:rsidRPr="0008303A">
        <w:rPr>
          <w:rFonts w:ascii="Tahoma" w:hAnsi="Tahoma" w:cs="Tahoma"/>
          <w:iCs w:val="0"/>
          <w:sz w:val="22"/>
          <w:szCs w:val="22"/>
          <w:lang w:val="en-US" w:eastAsia="en-US"/>
        </w:rPr>
        <w:t xml:space="preserve"> – Po) * W / R,</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VМt</w:t>
      </w:r>
      <w:proofErr w:type="spellEnd"/>
      <w:r w:rsidRPr="0008303A">
        <w:rPr>
          <w:rFonts w:ascii="Tahoma" w:hAnsi="Tahoma" w:cs="Tahoma"/>
          <w:iCs w:val="0"/>
          <w:sz w:val="22"/>
          <w:szCs w:val="22"/>
          <w:lang w:val="en-US" w:eastAsia="en-US"/>
        </w:rPr>
        <w:t xml:space="preserve"> = (</w:t>
      </w:r>
      <w:proofErr w:type="spellStart"/>
      <w:r w:rsidRPr="0008303A">
        <w:rPr>
          <w:rFonts w:ascii="Tahoma" w:hAnsi="Tahoma" w:cs="Tahoma"/>
          <w:iCs w:val="0"/>
          <w:sz w:val="22"/>
          <w:szCs w:val="22"/>
          <w:lang w:val="en-US" w:eastAsia="en-US"/>
        </w:rPr>
        <w:t>SPt</w:t>
      </w:r>
      <w:proofErr w:type="spellEnd"/>
      <w:r w:rsidRPr="0008303A">
        <w:rPr>
          <w:rFonts w:ascii="Tahoma" w:hAnsi="Tahoma" w:cs="Tahoma"/>
          <w:iCs w:val="0"/>
          <w:sz w:val="22"/>
          <w:szCs w:val="22"/>
          <w:lang w:val="en-US" w:eastAsia="en-US"/>
        </w:rPr>
        <w:t xml:space="preserve"> – </w:t>
      </w:r>
      <w:proofErr w:type="spellStart"/>
      <w:r w:rsidRPr="0008303A">
        <w:rPr>
          <w:rFonts w:ascii="Tahoma" w:hAnsi="Tahoma" w:cs="Tahoma"/>
          <w:iCs w:val="0"/>
          <w:sz w:val="22"/>
          <w:szCs w:val="22"/>
          <w:lang w:val="en-US" w:eastAsia="en-US"/>
        </w:rPr>
        <w:t>SPp</w:t>
      </w:r>
      <w:proofErr w:type="spellEnd"/>
      <w:r w:rsidRPr="0008303A">
        <w:rPr>
          <w:rFonts w:ascii="Tahoma" w:hAnsi="Tahoma" w:cs="Tahoma"/>
          <w:iCs w:val="0"/>
          <w:sz w:val="22"/>
          <w:szCs w:val="22"/>
          <w:lang w:val="en-US" w:eastAsia="en-US"/>
        </w:rPr>
        <w:t>) * W / R, where</w:t>
      </w:r>
    </w:p>
    <w:p w:rsidR="004762BD" w:rsidRPr="0008303A" w:rsidRDefault="004762BD" w:rsidP="004762BD">
      <w:pPr>
        <w:pStyle w:val="Texttabtab"/>
        <w:rPr>
          <w:rFonts w:ascii="Tahoma" w:hAnsi="Tahoma" w:cs="Tahoma"/>
          <w:iCs w:val="0"/>
          <w:sz w:val="22"/>
          <w:szCs w:val="22"/>
          <w:lang w:val="en-US" w:eastAsia="en-US"/>
        </w:rPr>
      </w:pP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VMo</w:t>
      </w:r>
      <w:proofErr w:type="spellEnd"/>
      <w:r w:rsidRPr="0008303A">
        <w:rPr>
          <w:rFonts w:ascii="Tahoma" w:hAnsi="Tahoma" w:cs="Tahoma"/>
          <w:iCs w:val="0"/>
          <w:sz w:val="22"/>
          <w:szCs w:val="22"/>
          <w:lang w:val="en-US" w:eastAsia="en-US"/>
        </w:rPr>
        <w:t xml:space="preserve"> – the Variation Margin for a Contract for which a Variation Margin has not been calculated yet;</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VМt</w:t>
      </w:r>
      <w:proofErr w:type="spellEnd"/>
      <w:r w:rsidRPr="0008303A">
        <w:rPr>
          <w:rFonts w:ascii="Tahoma" w:hAnsi="Tahoma" w:cs="Tahoma"/>
          <w:iCs w:val="0"/>
          <w:sz w:val="22"/>
          <w:szCs w:val="22"/>
          <w:lang w:val="en-US" w:eastAsia="en-US"/>
        </w:rPr>
        <w:t xml:space="preserve"> – the Variation Margin under a Contract for which a Variation Margin has been calculated before;</w:t>
      </w:r>
    </w:p>
    <w:p w:rsidR="004762BD" w:rsidRPr="0008303A" w:rsidRDefault="004762BD" w:rsidP="004762BD">
      <w:pPr>
        <w:pStyle w:val="Texttabtab"/>
        <w:rPr>
          <w:rFonts w:ascii="Tahoma" w:hAnsi="Tahoma" w:cs="Tahoma"/>
          <w:iCs w:val="0"/>
          <w:sz w:val="22"/>
          <w:szCs w:val="22"/>
          <w:lang w:val="en-US" w:eastAsia="en-US"/>
        </w:rPr>
      </w:pPr>
      <w:r w:rsidRPr="0008303A">
        <w:rPr>
          <w:rFonts w:ascii="Tahoma" w:hAnsi="Tahoma" w:cs="Tahoma"/>
          <w:iCs w:val="0"/>
          <w:sz w:val="22"/>
          <w:szCs w:val="22"/>
          <w:lang w:val="en-US" w:eastAsia="en-US"/>
        </w:rPr>
        <w:t>Po – Contract price;</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SPt</w:t>
      </w:r>
      <w:proofErr w:type="spellEnd"/>
      <w:r w:rsidRPr="0008303A">
        <w:rPr>
          <w:rFonts w:ascii="Tahoma" w:hAnsi="Tahoma" w:cs="Tahoma"/>
          <w:iCs w:val="0"/>
          <w:sz w:val="22"/>
          <w:szCs w:val="22"/>
          <w:lang w:val="en-US" w:eastAsia="en-US"/>
        </w:rPr>
        <w:t xml:space="preserve"> – the current (final) Settlement price of the Contract;</w:t>
      </w:r>
    </w:p>
    <w:p w:rsidR="004762BD" w:rsidRPr="0008303A" w:rsidRDefault="004762BD" w:rsidP="004762BD">
      <w:pPr>
        <w:pStyle w:val="Texttabtab"/>
        <w:rPr>
          <w:rFonts w:ascii="Tahoma" w:hAnsi="Tahoma" w:cs="Tahoma"/>
          <w:iCs w:val="0"/>
          <w:sz w:val="22"/>
          <w:szCs w:val="22"/>
          <w:lang w:val="en-US" w:eastAsia="en-US"/>
        </w:rPr>
      </w:pPr>
      <w:proofErr w:type="spellStart"/>
      <w:r w:rsidRPr="0008303A">
        <w:rPr>
          <w:rFonts w:ascii="Tahoma" w:hAnsi="Tahoma" w:cs="Tahoma"/>
          <w:iCs w:val="0"/>
          <w:sz w:val="22"/>
          <w:szCs w:val="22"/>
          <w:lang w:val="en-US" w:eastAsia="en-US"/>
        </w:rPr>
        <w:t>SPp</w:t>
      </w:r>
      <w:proofErr w:type="spellEnd"/>
      <w:r w:rsidRPr="0008303A">
        <w:rPr>
          <w:rFonts w:ascii="Tahoma" w:hAnsi="Tahoma" w:cs="Tahoma"/>
          <w:iCs w:val="0"/>
          <w:sz w:val="22"/>
          <w:szCs w:val="22"/>
          <w:lang w:val="en-US" w:eastAsia="en-US"/>
        </w:rPr>
        <w:t xml:space="preserve"> – the previous Settlement price of the Contract;</w:t>
      </w:r>
    </w:p>
    <w:p w:rsidR="004762BD" w:rsidRPr="0008303A" w:rsidRDefault="004762BD" w:rsidP="004762BD">
      <w:pPr>
        <w:pStyle w:val="Texttabtab"/>
        <w:rPr>
          <w:rFonts w:ascii="Tahoma" w:hAnsi="Tahoma" w:cs="Tahoma"/>
          <w:iCs w:val="0"/>
          <w:sz w:val="22"/>
          <w:szCs w:val="22"/>
          <w:lang w:val="en-US" w:eastAsia="en-US"/>
        </w:rPr>
      </w:pPr>
      <w:r w:rsidRPr="0008303A">
        <w:rPr>
          <w:rFonts w:ascii="Tahoma" w:hAnsi="Tahoma" w:cs="Tahoma"/>
          <w:iCs w:val="0"/>
          <w:sz w:val="22"/>
          <w:szCs w:val="22"/>
          <w:lang w:val="en-US" w:eastAsia="en-US"/>
        </w:rPr>
        <w:t xml:space="preserve">W – </w:t>
      </w:r>
      <w:proofErr w:type="gramStart"/>
      <w:r w:rsidRPr="0008303A">
        <w:rPr>
          <w:rFonts w:ascii="Tahoma" w:hAnsi="Tahoma" w:cs="Tahoma"/>
          <w:iCs w:val="0"/>
          <w:sz w:val="22"/>
          <w:szCs w:val="22"/>
          <w:lang w:val="en-US" w:eastAsia="en-US"/>
        </w:rPr>
        <w:t>the</w:t>
      </w:r>
      <w:proofErr w:type="gramEnd"/>
      <w:r w:rsidRPr="0008303A">
        <w:rPr>
          <w:rFonts w:ascii="Tahoma" w:hAnsi="Tahoma" w:cs="Tahoma"/>
          <w:iCs w:val="0"/>
          <w:sz w:val="22"/>
          <w:szCs w:val="22"/>
          <w:lang w:val="en-US" w:eastAsia="en-US"/>
        </w:rPr>
        <w:t xml:space="preserve"> value of the tick;</w:t>
      </w:r>
    </w:p>
    <w:p w:rsidR="004762BD" w:rsidRPr="0008303A" w:rsidRDefault="004762BD" w:rsidP="004762BD">
      <w:pPr>
        <w:pStyle w:val="Texttabtab"/>
        <w:rPr>
          <w:rFonts w:ascii="Tahoma" w:hAnsi="Tahoma" w:cs="Tahoma"/>
          <w:sz w:val="22"/>
          <w:szCs w:val="22"/>
          <w:lang w:val="en-GB"/>
        </w:rPr>
      </w:pPr>
      <w:r w:rsidRPr="0008303A">
        <w:rPr>
          <w:rFonts w:ascii="Tahoma" w:hAnsi="Tahoma" w:cs="Tahoma"/>
          <w:iCs w:val="0"/>
          <w:sz w:val="22"/>
          <w:szCs w:val="22"/>
          <w:lang w:val="en-US" w:eastAsia="en-US"/>
        </w:rPr>
        <w:t xml:space="preserve">R – </w:t>
      </w:r>
      <w:proofErr w:type="gramStart"/>
      <w:r w:rsidRPr="0008303A">
        <w:rPr>
          <w:rFonts w:ascii="Tahoma" w:hAnsi="Tahoma" w:cs="Tahoma"/>
          <w:iCs w:val="0"/>
          <w:sz w:val="22"/>
          <w:szCs w:val="22"/>
          <w:lang w:val="en-US" w:eastAsia="en-US"/>
        </w:rPr>
        <w:t>the</w:t>
      </w:r>
      <w:proofErr w:type="gramEnd"/>
      <w:r w:rsidRPr="0008303A">
        <w:rPr>
          <w:rFonts w:ascii="Tahoma" w:hAnsi="Tahoma" w:cs="Tahoma"/>
          <w:iCs w:val="0"/>
          <w:sz w:val="22"/>
          <w:szCs w:val="22"/>
          <w:lang w:val="en-US" w:eastAsia="en-US"/>
        </w:rPr>
        <w:t xml:space="preserve"> tick</w:t>
      </w:r>
      <w:r w:rsidRPr="0008303A">
        <w:rPr>
          <w:rFonts w:ascii="Tahoma" w:hAnsi="Tahoma" w:cs="Tahoma"/>
          <w:sz w:val="22"/>
          <w:szCs w:val="22"/>
        </w:rPr>
        <w:t>.</w:t>
      </w:r>
    </w:p>
    <w:p w:rsidR="004762BD" w:rsidRPr="0008303A" w:rsidRDefault="004762BD" w:rsidP="004762BD">
      <w:pPr>
        <w:pStyle w:val="a0"/>
        <w:tabs>
          <w:tab w:val="clear" w:pos="4537"/>
          <w:tab w:val="num" w:pos="567"/>
          <w:tab w:val="left" w:pos="9000"/>
        </w:tabs>
        <w:spacing w:before="120" w:after="0"/>
        <w:ind w:left="567"/>
        <w:rPr>
          <w:rFonts w:ascii="Tahoma" w:hAnsi="Tahoma" w:cs="Tahoma"/>
          <w:sz w:val="22"/>
          <w:szCs w:val="22"/>
          <w:lang w:val="en-US"/>
        </w:rPr>
      </w:pPr>
      <w:r w:rsidRPr="0008303A">
        <w:rPr>
          <w:rFonts w:ascii="Tahoma" w:hAnsi="Tahoma" w:cs="Tahoma"/>
          <w:sz w:val="22"/>
          <w:szCs w:val="22"/>
          <w:lang w:val="en-US"/>
        </w:rPr>
        <w:t xml:space="preserve">The variation margin for the Contract calculated according to the formulae described in Clause </w:t>
      </w:r>
      <w:r w:rsidR="0008303A">
        <w:rPr>
          <w:rFonts w:ascii="Tahoma" w:hAnsi="Tahoma" w:cs="Tahoma"/>
          <w:sz w:val="22"/>
          <w:szCs w:val="22"/>
          <w:lang w:val="en-US"/>
        </w:rPr>
        <w:fldChar w:fldCharType="begin"/>
      </w:r>
      <w:r w:rsidR="0008303A">
        <w:rPr>
          <w:rFonts w:ascii="Tahoma" w:hAnsi="Tahoma" w:cs="Tahoma"/>
          <w:sz w:val="22"/>
          <w:szCs w:val="22"/>
          <w:lang w:val="en-US"/>
        </w:rPr>
        <w:instrText xml:space="preserve"> REF _Ref369190333 \r \h </w:instrText>
      </w:r>
      <w:r w:rsidR="0008303A">
        <w:rPr>
          <w:rFonts w:ascii="Tahoma" w:hAnsi="Tahoma" w:cs="Tahoma"/>
          <w:sz w:val="22"/>
          <w:szCs w:val="22"/>
          <w:lang w:val="en-US"/>
        </w:rPr>
      </w:r>
      <w:r w:rsidR="0008303A">
        <w:rPr>
          <w:rFonts w:ascii="Tahoma" w:hAnsi="Tahoma" w:cs="Tahoma"/>
          <w:sz w:val="22"/>
          <w:szCs w:val="22"/>
          <w:lang w:val="en-US"/>
        </w:rPr>
        <w:fldChar w:fldCharType="separate"/>
      </w:r>
      <w:r w:rsidR="0008303A">
        <w:rPr>
          <w:rFonts w:ascii="Tahoma" w:hAnsi="Tahoma" w:cs="Tahoma"/>
          <w:sz w:val="22"/>
          <w:szCs w:val="22"/>
          <w:lang w:val="en-US"/>
        </w:rPr>
        <w:t>2.3</w:t>
      </w:r>
      <w:r w:rsidR="0008303A">
        <w:rPr>
          <w:rFonts w:ascii="Tahoma" w:hAnsi="Tahoma" w:cs="Tahoma"/>
          <w:sz w:val="22"/>
          <w:szCs w:val="22"/>
          <w:lang w:val="en-US"/>
        </w:rPr>
        <w:fldChar w:fldCharType="end"/>
      </w:r>
      <w:r w:rsidR="0008303A">
        <w:rPr>
          <w:rFonts w:ascii="Tahoma" w:hAnsi="Tahoma" w:cs="Tahoma"/>
          <w:sz w:val="22"/>
          <w:szCs w:val="22"/>
          <w:lang w:val="en-US"/>
        </w:rPr>
        <w:t xml:space="preserve"> </w:t>
      </w:r>
      <w:r w:rsidRPr="0008303A">
        <w:rPr>
          <w:rFonts w:ascii="Tahoma" w:hAnsi="Tahoma" w:cs="Tahoma"/>
          <w:sz w:val="22"/>
          <w:szCs w:val="22"/>
          <w:lang w:val="en-US"/>
        </w:rPr>
        <w:t>hereof shall be rounded to kopecks as per the rules of mathematical rounding.</w:t>
      </w:r>
    </w:p>
    <w:p w:rsidR="004762BD" w:rsidRPr="0008303A" w:rsidRDefault="004762BD" w:rsidP="004762BD">
      <w:pPr>
        <w:pStyle w:val="a0"/>
        <w:tabs>
          <w:tab w:val="clear" w:pos="4537"/>
          <w:tab w:val="num" w:pos="567"/>
          <w:tab w:val="left" w:pos="9000"/>
        </w:tabs>
        <w:spacing w:before="120" w:after="0"/>
        <w:ind w:left="567"/>
        <w:rPr>
          <w:rFonts w:ascii="Tahoma" w:hAnsi="Tahoma" w:cs="Tahoma"/>
          <w:sz w:val="22"/>
          <w:szCs w:val="22"/>
          <w:lang w:val="en-US"/>
        </w:rPr>
      </w:pPr>
      <w:r w:rsidRPr="0008303A">
        <w:rPr>
          <w:rFonts w:ascii="Tahoma" w:hAnsi="Tahoma" w:cs="Tahoma"/>
          <w:sz w:val="22"/>
          <w:szCs w:val="22"/>
          <w:lang w:val="en-US"/>
        </w:rPr>
        <w:t>The obligation to pay the Variation margin shall be fulfilled according to the procedure and within the timeframes established in the Clearing Rules. If the variation margin value is positive the Seller is to be obliged to pay it. And if it is negative, the Buyer is to be obliged to pay the absolute value of the calculated variation margin.</w:t>
      </w:r>
    </w:p>
    <w:p w:rsidR="004762BD" w:rsidRPr="0008303A" w:rsidRDefault="004762BD" w:rsidP="004762BD">
      <w:pPr>
        <w:pStyle w:val="a0"/>
        <w:tabs>
          <w:tab w:val="clear" w:pos="4537"/>
          <w:tab w:val="num" w:pos="567"/>
          <w:tab w:val="left" w:pos="9000"/>
        </w:tabs>
        <w:spacing w:before="120" w:after="0"/>
        <w:ind w:left="567"/>
        <w:rPr>
          <w:rFonts w:ascii="Tahoma" w:hAnsi="Tahoma" w:cs="Tahoma"/>
          <w:sz w:val="22"/>
          <w:szCs w:val="22"/>
          <w:lang w:val="en-US"/>
        </w:rPr>
      </w:pPr>
      <w:r w:rsidRPr="0008303A">
        <w:rPr>
          <w:rFonts w:ascii="Tahoma" w:hAnsi="Tahoma" w:cs="Tahoma"/>
          <w:sz w:val="22"/>
          <w:szCs w:val="22"/>
          <w:lang w:val="en-US"/>
        </w:rPr>
        <w:t>The Contract’s Settlement price shall be determined by the Exchange in accordance with the procedure and within the timeframes established in the Trading rules and the Specifications.</w:t>
      </w:r>
    </w:p>
    <w:p w:rsidR="00B429B2" w:rsidRPr="0008303A" w:rsidRDefault="00034780" w:rsidP="00B429B2">
      <w:pPr>
        <w:pStyle w:val="a"/>
        <w:tabs>
          <w:tab w:val="clear" w:pos="284"/>
          <w:tab w:val="num" w:pos="360"/>
          <w:tab w:val="left" w:pos="709"/>
        </w:tabs>
        <w:spacing w:before="240"/>
        <w:ind w:right="57"/>
        <w:rPr>
          <w:rFonts w:ascii="Tahoma" w:hAnsi="Tahoma" w:cs="Tahoma"/>
          <w:sz w:val="22"/>
          <w:szCs w:val="22"/>
        </w:rPr>
      </w:pPr>
      <w:r w:rsidRPr="0008303A">
        <w:rPr>
          <w:rFonts w:ascii="Tahoma" w:hAnsi="Tahoma" w:cs="Tahoma"/>
          <w:sz w:val="22"/>
          <w:szCs w:val="22"/>
          <w:lang w:val="en-US"/>
        </w:rPr>
        <w:t>Delivery obligations</w:t>
      </w:r>
    </w:p>
    <w:p w:rsidR="00034780" w:rsidRPr="0008303A" w:rsidRDefault="00034780" w:rsidP="0008303A">
      <w:pPr>
        <w:pStyle w:val="a0"/>
        <w:tabs>
          <w:tab w:val="clear" w:pos="4537"/>
          <w:tab w:val="left" w:pos="9000"/>
        </w:tabs>
        <w:spacing w:before="120" w:after="120"/>
        <w:ind w:left="567"/>
        <w:rPr>
          <w:rFonts w:ascii="Tahoma" w:hAnsi="Tahoma" w:cs="Tahoma"/>
          <w:sz w:val="22"/>
          <w:szCs w:val="22"/>
          <w:lang w:val="en-US"/>
        </w:rPr>
      </w:pPr>
      <w:r w:rsidRPr="0008303A">
        <w:rPr>
          <w:rFonts w:ascii="Tahoma" w:hAnsi="Tahoma" w:cs="Tahoma"/>
          <w:sz w:val="22"/>
          <w:szCs w:val="22"/>
          <w:lang w:val="en-US"/>
        </w:rPr>
        <w:t xml:space="preserve">The Buyer must buy and the Seller must sell the Shares in the amount defined in accordance with the Clearing rules, by executing a trade in the Standard Sector of MICEX Stock Exchange pursuant to its Trading Rules and at the price determined by dividing the Contract’s Settlement price defined by the end of the evening Settlement period on the Contract’s last trading day, by Contract’s lot.  </w:t>
      </w:r>
    </w:p>
    <w:p w:rsidR="00034780" w:rsidRPr="0008303A" w:rsidRDefault="00034780" w:rsidP="0008303A">
      <w:pPr>
        <w:pStyle w:val="a0"/>
        <w:tabs>
          <w:tab w:val="clear" w:pos="4537"/>
          <w:tab w:val="left" w:pos="9000"/>
        </w:tabs>
        <w:spacing w:before="120" w:after="120"/>
        <w:ind w:left="567"/>
        <w:rPr>
          <w:rFonts w:ascii="Tahoma" w:hAnsi="Tahoma" w:cs="Tahoma"/>
          <w:sz w:val="22"/>
          <w:szCs w:val="22"/>
          <w:lang w:val="en-US"/>
        </w:rPr>
      </w:pPr>
      <w:r w:rsidRPr="0008303A">
        <w:rPr>
          <w:rFonts w:ascii="Tahoma" w:hAnsi="Tahoma" w:cs="Tahoma"/>
          <w:sz w:val="22"/>
          <w:szCs w:val="22"/>
          <w:lang w:val="en-US"/>
        </w:rPr>
        <w:t xml:space="preserve">Delivery obligation shall be performed on the Contract’s exercise day. </w:t>
      </w:r>
      <w:r w:rsidR="0008303A" w:rsidRPr="0008303A">
        <w:rPr>
          <w:rFonts w:ascii="Tahoma" w:hAnsi="Tahoma" w:cs="Tahoma"/>
          <w:sz w:val="22"/>
          <w:szCs w:val="22"/>
          <w:lang w:val="en-US"/>
        </w:rPr>
        <w:t xml:space="preserve">The Contract’s exercise day shall be the Contract’s last trading day except for cases stipulated in Clauses </w:t>
      </w:r>
      <w:r w:rsidR="0008303A">
        <w:rPr>
          <w:rFonts w:ascii="Tahoma" w:hAnsi="Tahoma" w:cs="Tahoma"/>
          <w:sz w:val="22"/>
          <w:szCs w:val="22"/>
          <w:lang w:val="en-US"/>
        </w:rPr>
        <w:fldChar w:fldCharType="begin"/>
      </w:r>
      <w:r w:rsidR="0008303A">
        <w:rPr>
          <w:rFonts w:ascii="Tahoma" w:hAnsi="Tahoma" w:cs="Tahoma"/>
          <w:sz w:val="22"/>
          <w:szCs w:val="22"/>
          <w:lang w:val="en-US"/>
        </w:rPr>
        <w:instrText xml:space="preserve"> REF _Ref369190346 \r \h </w:instrText>
      </w:r>
      <w:r w:rsidR="0008303A">
        <w:rPr>
          <w:rFonts w:ascii="Tahoma" w:hAnsi="Tahoma" w:cs="Tahoma"/>
          <w:sz w:val="22"/>
          <w:szCs w:val="22"/>
          <w:lang w:val="en-US"/>
        </w:rPr>
      </w:r>
      <w:r w:rsidR="0008303A">
        <w:rPr>
          <w:rFonts w:ascii="Tahoma" w:hAnsi="Tahoma" w:cs="Tahoma"/>
          <w:sz w:val="22"/>
          <w:szCs w:val="22"/>
          <w:lang w:val="en-US"/>
        </w:rPr>
        <w:fldChar w:fldCharType="separate"/>
      </w:r>
      <w:r w:rsidR="0008303A">
        <w:rPr>
          <w:rFonts w:ascii="Tahoma" w:hAnsi="Tahoma" w:cs="Tahoma"/>
          <w:sz w:val="22"/>
          <w:szCs w:val="22"/>
          <w:lang w:val="en-US"/>
        </w:rPr>
        <w:t>6.1</w:t>
      </w:r>
      <w:r w:rsidR="0008303A">
        <w:rPr>
          <w:rFonts w:ascii="Tahoma" w:hAnsi="Tahoma" w:cs="Tahoma"/>
          <w:sz w:val="22"/>
          <w:szCs w:val="22"/>
          <w:lang w:val="en-US"/>
        </w:rPr>
        <w:fldChar w:fldCharType="end"/>
      </w:r>
      <w:r w:rsidR="0008303A" w:rsidRPr="0008303A">
        <w:rPr>
          <w:rFonts w:ascii="Tahoma" w:hAnsi="Tahoma" w:cs="Tahoma"/>
          <w:sz w:val="22"/>
          <w:szCs w:val="22"/>
          <w:lang w:val="en-US"/>
        </w:rPr>
        <w:t>-</w:t>
      </w:r>
      <w:r w:rsidR="0008303A">
        <w:rPr>
          <w:rFonts w:ascii="Tahoma" w:hAnsi="Tahoma" w:cs="Tahoma"/>
          <w:sz w:val="22"/>
          <w:szCs w:val="22"/>
          <w:lang w:val="en-US"/>
        </w:rPr>
        <w:fldChar w:fldCharType="begin"/>
      </w:r>
      <w:r w:rsidR="0008303A">
        <w:rPr>
          <w:rFonts w:ascii="Tahoma" w:hAnsi="Tahoma" w:cs="Tahoma"/>
          <w:sz w:val="22"/>
          <w:szCs w:val="22"/>
          <w:lang w:val="en-US"/>
        </w:rPr>
        <w:instrText xml:space="preserve"> REF _Ref369190350 \r \h </w:instrText>
      </w:r>
      <w:r w:rsidR="0008303A">
        <w:rPr>
          <w:rFonts w:ascii="Tahoma" w:hAnsi="Tahoma" w:cs="Tahoma"/>
          <w:sz w:val="22"/>
          <w:szCs w:val="22"/>
          <w:lang w:val="en-US"/>
        </w:rPr>
      </w:r>
      <w:r w:rsidR="0008303A">
        <w:rPr>
          <w:rFonts w:ascii="Tahoma" w:hAnsi="Tahoma" w:cs="Tahoma"/>
          <w:sz w:val="22"/>
          <w:szCs w:val="22"/>
          <w:lang w:val="en-US"/>
        </w:rPr>
        <w:fldChar w:fldCharType="separate"/>
      </w:r>
      <w:r w:rsidR="0008303A">
        <w:rPr>
          <w:rFonts w:ascii="Tahoma" w:hAnsi="Tahoma" w:cs="Tahoma"/>
          <w:sz w:val="22"/>
          <w:szCs w:val="22"/>
          <w:lang w:val="en-US"/>
        </w:rPr>
        <w:t>6.2</w:t>
      </w:r>
      <w:r w:rsidR="0008303A">
        <w:rPr>
          <w:rFonts w:ascii="Tahoma" w:hAnsi="Tahoma" w:cs="Tahoma"/>
          <w:sz w:val="22"/>
          <w:szCs w:val="22"/>
          <w:lang w:val="en-US"/>
        </w:rPr>
        <w:fldChar w:fldCharType="end"/>
      </w:r>
      <w:r w:rsidR="0008303A">
        <w:rPr>
          <w:rFonts w:ascii="Tahoma" w:hAnsi="Tahoma" w:cs="Tahoma"/>
          <w:sz w:val="22"/>
          <w:szCs w:val="22"/>
          <w:lang w:val="en-US"/>
        </w:rPr>
        <w:t xml:space="preserve"> </w:t>
      </w:r>
      <w:r w:rsidR="0008303A" w:rsidRPr="0008303A">
        <w:rPr>
          <w:rFonts w:ascii="Tahoma" w:hAnsi="Tahoma" w:cs="Tahoma"/>
          <w:sz w:val="22"/>
          <w:szCs w:val="22"/>
          <w:lang w:val="en-US"/>
        </w:rPr>
        <w:t>hereof.</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3"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3"/>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w:t>
      </w:r>
      <w:proofErr w:type="gramStart"/>
      <w:r w:rsidRPr="0008303A">
        <w:rPr>
          <w:rFonts w:ascii="Tahoma" w:hAnsi="Tahoma" w:cs="Tahoma"/>
          <w:sz w:val="22"/>
          <w:szCs w:val="22"/>
          <w:lang w:val="en-US"/>
        </w:rPr>
        <w:t>or  improper</w:t>
      </w:r>
      <w:proofErr w:type="gramEnd"/>
      <w:r w:rsidRPr="0008303A">
        <w:rPr>
          <w:rFonts w:ascii="Tahoma" w:hAnsi="Tahoma" w:cs="Tahoma"/>
          <w:sz w:val="22"/>
          <w:szCs w:val="22"/>
          <w:lang w:val="en-US"/>
        </w:rPr>
        <w:t xml:space="preserve">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4" w:name="_Ref369190346"/>
      <w:r w:rsidRPr="0008303A">
        <w:rPr>
          <w:rFonts w:ascii="Tahoma" w:hAnsi="Tahoma" w:cs="Tahoma"/>
          <w:sz w:val="22"/>
          <w:szCs w:val="22"/>
          <w:lang w:val="en-US"/>
        </w:rPr>
        <w:t>If trading in the Contract has been suspended/terminated, or the Shares have been suspended from trading by the Exchange or annulled, or if  a considerable reduction of the number of free-float Shares (by the opinion of the Derivatives Committee experts) has taken place, the Exchange shall be entitled to make one or more of the following decisions as agreed with the Clearing Center:</w:t>
      </w:r>
      <w:bookmarkEnd w:id="4"/>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terminate the Delivery obligation;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proofErr w:type="gramStart"/>
      <w:r w:rsidRPr="0008303A">
        <w:rPr>
          <w:rFonts w:ascii="Tahoma" w:hAnsi="Tahoma" w:cs="Tahoma"/>
          <w:sz w:val="22"/>
          <w:szCs w:val="22"/>
          <w:lang w:val="en-US"/>
        </w:rPr>
        <w:t>to</w:t>
      </w:r>
      <w:proofErr w:type="gramEnd"/>
      <w:r w:rsidRPr="0008303A">
        <w:rPr>
          <w:rFonts w:ascii="Tahoma" w:hAnsi="Tahoma" w:cs="Tahoma"/>
          <w:sz w:val="22"/>
          <w:szCs w:val="22"/>
          <w:lang w:val="en-US"/>
        </w:rPr>
        <w:t xml:space="preserve"> make other decisions stipulated in the Trading Rules.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5" w:name="_Ref369190350"/>
      <w:r w:rsidRPr="0008303A">
        <w:rPr>
          <w:rFonts w:ascii="Tahoma" w:hAnsi="Tahoma" w:cs="Tahoma"/>
          <w:sz w:val="22"/>
          <w:szCs w:val="22"/>
          <w:lang w:val="en-US"/>
        </w:rPr>
        <w:t>If following a reorganization of the Shares’ issuer (other entity) or conversion of Shares conducted in the period from the first trading day of the Contract  with a certain code until the settlement date of the given Contract inclusive, and also in case of placement of additional Shares in the period from the first trading day of the Contract with a certain code until the settlement date of the given Contract inclusive, the Exchange shall be entitled to make one or more of the following decisions with regard to the Contract:</w:t>
      </w:r>
      <w:bookmarkEnd w:id="5"/>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bookmarkStart w:id="6" w:name="_Ref369190314"/>
      <w:r w:rsidRPr="0008303A">
        <w:rPr>
          <w:rFonts w:ascii="Tahoma" w:hAnsi="Tahoma" w:cs="Tahoma"/>
          <w:sz w:val="22"/>
          <w:szCs w:val="22"/>
          <w:lang w:val="en-US"/>
        </w:rPr>
        <w:t>To discharge the Delivery obligations through transferring/paying for the Shares and/or other securities which names and numbers are specified by the Exchange by reorganization or conversion terms, by the Seller/Buyer. This decision may only be made for the Contract with the main code;</w:t>
      </w:r>
      <w:bookmarkEnd w:id="6"/>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Lot size;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proofErr w:type="gramStart"/>
      <w:r w:rsidRPr="0008303A">
        <w:rPr>
          <w:rFonts w:ascii="Tahoma" w:hAnsi="Tahoma" w:cs="Tahoma"/>
          <w:sz w:val="22"/>
          <w:szCs w:val="22"/>
          <w:lang w:val="en-US"/>
        </w:rPr>
        <w:t>to</w:t>
      </w:r>
      <w:proofErr w:type="gramEnd"/>
      <w:r w:rsidRPr="0008303A">
        <w:rPr>
          <w:rFonts w:ascii="Tahoma" w:hAnsi="Tahoma" w:cs="Tahoma"/>
          <w:sz w:val="22"/>
          <w:szCs w:val="22"/>
          <w:lang w:val="en-US"/>
        </w:rPr>
        <w:t xml:space="preserve"> change the Contract’s settlement date.</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Trading members shall be notified of the decision(s) of the Exchange made in accordance with Clauses </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6.1</w:t>
      </w:r>
      <w:r w:rsidRPr="0008303A">
        <w:rPr>
          <w:rFonts w:ascii="Tahoma" w:hAnsi="Tahoma" w:cs="Tahoma"/>
          <w:sz w:val="22"/>
          <w:szCs w:val="22"/>
        </w:rPr>
        <w:fldChar w:fldCharType="end"/>
      </w:r>
      <w:r w:rsidRPr="0008303A">
        <w:rPr>
          <w:rFonts w:ascii="Tahoma" w:hAnsi="Tahoma" w:cs="Tahoma"/>
          <w:sz w:val="22"/>
          <w:szCs w:val="22"/>
          <w:lang w:val="en-US"/>
        </w:rPr>
        <w:t>–</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_Ref361154643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6.2</w:t>
      </w:r>
      <w:r w:rsidRPr="0008303A">
        <w:rPr>
          <w:rFonts w:ascii="Tahoma" w:hAnsi="Tahoma" w:cs="Tahoma"/>
          <w:sz w:val="22"/>
          <w:szCs w:val="22"/>
        </w:rPr>
        <w:fldChar w:fldCharType="end"/>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Pr="0008303A">
        <w:rPr>
          <w:rFonts w:ascii="Tahoma" w:hAnsi="Tahoma" w:cs="Tahoma"/>
          <w:sz w:val="22"/>
          <w:szCs w:val="22"/>
          <w:lang w:val="en-US"/>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lang w:val="en-US"/>
        </w:rPr>
      </w:r>
      <w:r w:rsidRPr="0008303A">
        <w:rPr>
          <w:rFonts w:ascii="Tahoma" w:hAnsi="Tahoma" w:cs="Tahoma"/>
          <w:sz w:val="22"/>
          <w:szCs w:val="22"/>
          <w:lang w:val="en-US"/>
        </w:rPr>
        <w:fldChar w:fldCharType="separate"/>
      </w:r>
      <w:r w:rsidRPr="0008303A">
        <w:rPr>
          <w:rFonts w:ascii="Tahoma" w:hAnsi="Tahoma" w:cs="Tahoma"/>
          <w:sz w:val="22"/>
          <w:szCs w:val="22"/>
          <w:lang w:val="en-US"/>
        </w:rPr>
        <w:t>6.1</w:t>
      </w:r>
      <w:r w:rsidRPr="0008303A">
        <w:rPr>
          <w:rFonts w:ascii="Tahoma" w:hAnsi="Tahoma" w:cs="Tahoma"/>
          <w:sz w:val="22"/>
          <w:szCs w:val="22"/>
          <w:lang w:val="en-US"/>
        </w:rPr>
        <w:fldChar w:fldCharType="end"/>
      </w:r>
      <w:r w:rsidRPr="0008303A">
        <w:rPr>
          <w:rFonts w:ascii="Tahoma" w:hAnsi="Tahoma" w:cs="Tahoma"/>
          <w:sz w:val="22"/>
          <w:szCs w:val="22"/>
          <w:lang w:val="en-US"/>
        </w:rPr>
        <w:t>–</w:t>
      </w:r>
      <w:r w:rsidRPr="0008303A">
        <w:rPr>
          <w:rFonts w:ascii="Tahoma" w:hAnsi="Tahoma" w:cs="Tahoma"/>
          <w:sz w:val="22"/>
          <w:szCs w:val="22"/>
          <w:lang w:val="en-US"/>
        </w:rPr>
        <w:fldChar w:fldCharType="begin"/>
      </w:r>
      <w:r w:rsidRPr="0008303A">
        <w:rPr>
          <w:rFonts w:ascii="Tahoma" w:hAnsi="Tahoma" w:cs="Tahoma"/>
          <w:sz w:val="22"/>
          <w:szCs w:val="22"/>
          <w:lang w:val="en-US"/>
        </w:rPr>
        <w:instrText xml:space="preserve"> REF _Ref361154643 \r \h  \* MERGEFORMAT </w:instrText>
      </w:r>
      <w:r w:rsidRPr="0008303A">
        <w:rPr>
          <w:rFonts w:ascii="Tahoma" w:hAnsi="Tahoma" w:cs="Tahoma"/>
          <w:sz w:val="22"/>
          <w:szCs w:val="22"/>
          <w:lang w:val="en-US"/>
        </w:rPr>
      </w:r>
      <w:r w:rsidRPr="0008303A">
        <w:rPr>
          <w:rFonts w:ascii="Tahoma" w:hAnsi="Tahoma" w:cs="Tahoma"/>
          <w:sz w:val="22"/>
          <w:szCs w:val="22"/>
          <w:lang w:val="en-US"/>
        </w:rPr>
        <w:fldChar w:fldCharType="separate"/>
      </w:r>
      <w:r w:rsidRPr="0008303A">
        <w:rPr>
          <w:rFonts w:ascii="Tahoma" w:hAnsi="Tahoma" w:cs="Tahoma"/>
          <w:sz w:val="22"/>
          <w:szCs w:val="22"/>
          <w:lang w:val="en-US"/>
        </w:rPr>
        <w:t>6.2</w:t>
      </w:r>
      <w:r w:rsidRPr="0008303A">
        <w:rPr>
          <w:rFonts w:ascii="Tahoma" w:hAnsi="Tahoma" w:cs="Tahoma"/>
          <w:sz w:val="22"/>
          <w:szCs w:val="22"/>
          <w:lang w:val="en-US"/>
        </w:rPr>
        <w:fldChar w:fldCharType="end"/>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Pr="0008303A">
        <w:rPr>
          <w:rFonts w:ascii="Tahoma" w:hAnsi="Tahoma" w:cs="Tahoma"/>
          <w:sz w:val="22"/>
          <w:szCs w:val="22"/>
          <w:lang w:val="en-US"/>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lang w:val="en-US"/>
        </w:rPr>
      </w:r>
      <w:r w:rsidRPr="0008303A">
        <w:rPr>
          <w:rFonts w:ascii="Tahoma" w:hAnsi="Tahoma" w:cs="Tahoma"/>
          <w:sz w:val="22"/>
          <w:szCs w:val="22"/>
          <w:lang w:val="en-US"/>
        </w:rPr>
        <w:fldChar w:fldCharType="separate"/>
      </w:r>
      <w:r w:rsidRPr="0008303A">
        <w:rPr>
          <w:rFonts w:ascii="Tahoma" w:hAnsi="Tahoma" w:cs="Tahoma"/>
          <w:sz w:val="22"/>
          <w:szCs w:val="22"/>
          <w:lang w:val="en-US"/>
        </w:rPr>
        <w:t>6.1</w:t>
      </w:r>
      <w:r w:rsidRPr="0008303A">
        <w:rPr>
          <w:rFonts w:ascii="Tahoma" w:hAnsi="Tahoma" w:cs="Tahoma"/>
          <w:sz w:val="22"/>
          <w:szCs w:val="22"/>
          <w:lang w:val="en-US"/>
        </w:rPr>
        <w:fldChar w:fldCharType="end"/>
      </w:r>
      <w:r w:rsidRPr="0008303A">
        <w:rPr>
          <w:rFonts w:ascii="Tahoma" w:hAnsi="Tahoma" w:cs="Tahoma"/>
          <w:sz w:val="22"/>
          <w:szCs w:val="22"/>
          <w:lang w:val="en-US"/>
        </w:rPr>
        <w:t>–</w:t>
      </w:r>
      <w:r w:rsidRPr="0008303A">
        <w:rPr>
          <w:rFonts w:ascii="Tahoma" w:hAnsi="Tahoma" w:cs="Tahoma"/>
          <w:sz w:val="22"/>
          <w:szCs w:val="22"/>
          <w:lang w:val="en-US"/>
        </w:rPr>
        <w:fldChar w:fldCharType="begin"/>
      </w:r>
      <w:r w:rsidRPr="0008303A">
        <w:rPr>
          <w:rFonts w:ascii="Tahoma" w:hAnsi="Tahoma" w:cs="Tahoma"/>
          <w:sz w:val="22"/>
          <w:szCs w:val="22"/>
          <w:lang w:val="en-US"/>
        </w:rPr>
        <w:instrText xml:space="preserve"> REF _Ref361154643 \r \h  \* MERGEFORMAT </w:instrText>
      </w:r>
      <w:r w:rsidRPr="0008303A">
        <w:rPr>
          <w:rFonts w:ascii="Tahoma" w:hAnsi="Tahoma" w:cs="Tahoma"/>
          <w:sz w:val="22"/>
          <w:szCs w:val="22"/>
          <w:lang w:val="en-US"/>
        </w:rPr>
      </w:r>
      <w:r w:rsidRPr="0008303A">
        <w:rPr>
          <w:rFonts w:ascii="Tahoma" w:hAnsi="Tahoma" w:cs="Tahoma"/>
          <w:sz w:val="22"/>
          <w:szCs w:val="22"/>
          <w:lang w:val="en-US"/>
        </w:rPr>
        <w:fldChar w:fldCharType="separate"/>
      </w:r>
      <w:r w:rsidRPr="0008303A">
        <w:rPr>
          <w:rFonts w:ascii="Tahoma" w:hAnsi="Tahoma" w:cs="Tahoma"/>
          <w:sz w:val="22"/>
          <w:szCs w:val="22"/>
          <w:lang w:val="en-US"/>
        </w:rPr>
        <w:t>6.2</w:t>
      </w:r>
      <w:r w:rsidRPr="0008303A">
        <w:rPr>
          <w:rFonts w:ascii="Tahoma" w:hAnsi="Tahoma" w:cs="Tahoma"/>
          <w:sz w:val="22"/>
          <w:szCs w:val="22"/>
          <w:lang w:val="en-US"/>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7" w:name="_Ref152644934"/>
      <w:r w:rsidRPr="0008303A">
        <w:rPr>
          <w:rFonts w:ascii="Tahoma" w:hAnsi="Tahoma" w:cs="Tahoma"/>
          <w:sz w:val="22"/>
          <w:szCs w:val="22"/>
          <w:lang w:val="en-US"/>
        </w:rPr>
        <w:t xml:space="preserve">If the Share has failed to comply with the Federal agency’s requirements for underlying assets of derivatives contracts, terms of obligations under the Contacts that had been executed before shall remain unchanged. </w:t>
      </w:r>
      <w:bookmarkEnd w:id="7"/>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 upon registration thereof in compliance with the procedure established by the Federal Body.</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notify the Trading Members of the Specifications containing any amendments and supplements to take effect by publishing the corresponding information on the Exchange’s website at least three (3) trading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FE43D9" w:rsidRPr="0008303A" w:rsidRDefault="00A07C48">
      <w:pPr>
        <w:rPr>
          <w:rFonts w:ascii="Tahoma" w:hAnsi="Tahoma" w:cs="Tahoma"/>
          <w:sz w:val="22"/>
          <w:szCs w:val="22"/>
          <w:lang w:val="en-US"/>
        </w:rPr>
      </w:pPr>
    </w:p>
    <w:sectPr w:rsidR="00FE43D9" w:rsidRPr="0008303A" w:rsidSect="005515BD">
      <w:headerReference w:type="default" r:id="rId9"/>
      <w:footerReference w:type="default" r:id="rId10"/>
      <w:pgSz w:w="11906" w:h="16838"/>
      <w:pgMar w:top="1470"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C48" w:rsidRDefault="00A07C48" w:rsidP="004762BD">
      <w:r>
        <w:separator/>
      </w:r>
    </w:p>
  </w:endnote>
  <w:endnote w:type="continuationSeparator" w:id="0">
    <w:p w:rsidR="00A07C48" w:rsidRDefault="00A07C48" w:rsidP="0047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AD" w:rsidRDefault="00A07C48">
    <w:pPr>
      <w:pStyle w:val="a7"/>
      <w:jc w:val="right"/>
      <w:rPr>
        <w:rFonts w:ascii="Tahoma" w:hAnsi="Tahoma" w:cs="Tahoma"/>
        <w:sz w:val="20"/>
        <w:szCs w:val="20"/>
      </w:rPr>
    </w:pPr>
  </w:p>
  <w:p w:rsidR="00C36BF8" w:rsidRPr="00C36BF8" w:rsidRDefault="00A07C48">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sidR="0008303A">
      <w:rPr>
        <w:rFonts w:ascii="Tahoma" w:hAnsi="Tahoma" w:cs="Tahoma"/>
        <w:noProof/>
        <w:sz w:val="20"/>
        <w:szCs w:val="20"/>
      </w:rPr>
      <w:t>4</w:t>
    </w:r>
    <w:r w:rsidRPr="00C36BF8">
      <w:rPr>
        <w:rFonts w:ascii="Tahoma" w:hAnsi="Tahoma" w:cs="Tahoma"/>
        <w:sz w:val="20"/>
        <w:szCs w:val="20"/>
      </w:rPr>
      <w:fldChar w:fldCharType="end"/>
    </w:r>
  </w:p>
  <w:p w:rsidR="00C36BF8" w:rsidRDefault="00A07C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C48" w:rsidRDefault="00A07C48" w:rsidP="004762BD">
      <w:r>
        <w:separator/>
      </w:r>
    </w:p>
  </w:footnote>
  <w:footnote w:type="continuationSeparator" w:id="0">
    <w:p w:rsidR="00A07C48" w:rsidRDefault="00A07C48" w:rsidP="00476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21E" w:rsidRDefault="00A07C48" w:rsidP="00700AAD">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700AAD" w:rsidRPr="00700AAD" w:rsidRDefault="00A07C48" w:rsidP="00700AAD">
    <w:pPr>
      <w:pStyle w:val="af2"/>
    </w:pPr>
    <w:proofErr w:type="gramStart"/>
    <w:r>
      <w:rPr>
        <w:rFonts w:ascii="Tahoma" w:hAnsi="Tahoma" w:cs="Tahoma"/>
        <w:b/>
        <w:sz w:val="20"/>
        <w:szCs w:val="20"/>
        <w:lang w:val="en-US"/>
      </w:rPr>
      <w:t>on</w:t>
    </w:r>
    <w:proofErr w:type="gramEnd"/>
    <w:r>
      <w:rPr>
        <w:rFonts w:ascii="Tahoma" w:hAnsi="Tahoma" w:cs="Tahoma"/>
        <w:b/>
        <w:sz w:val="20"/>
        <w:szCs w:val="20"/>
        <w:lang w:val="en-US"/>
      </w:rPr>
      <w:t xml:space="preserve"> </w:t>
    </w:r>
    <w:r w:rsidR="00B429B2">
      <w:rPr>
        <w:rFonts w:ascii="Tahoma" w:hAnsi="Tahoma" w:cs="Tahoma"/>
        <w:b/>
        <w:sz w:val="20"/>
        <w:szCs w:val="20"/>
        <w:lang w:val="en-US"/>
      </w:rPr>
      <w:t>Russian issuers</w:t>
    </w:r>
    <w:r w:rsidR="0008303A" w:rsidRPr="0008303A">
      <w:rPr>
        <w:rFonts w:ascii="Tahoma" w:hAnsi="Tahoma" w:cs="Tahoma"/>
        <w:b/>
        <w:sz w:val="20"/>
        <w:szCs w:val="20"/>
        <w:lang w:val="en-US"/>
      </w:rPr>
      <w:t xml:space="preserve"> </w:t>
    </w:r>
    <w:r w:rsidR="0008303A">
      <w:rPr>
        <w:rFonts w:ascii="Tahoma" w:hAnsi="Tahoma" w:cs="Tahoma"/>
        <w:b/>
        <w:sz w:val="20"/>
        <w:szCs w:val="20"/>
        <w:lang w:val="en-US"/>
      </w:rPr>
      <w:t>shares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3">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3"/>
  </w:num>
  <w:num w:numId="2">
    <w:abstractNumId w:val="0"/>
  </w:num>
  <w:num w:numId="3">
    <w:abstractNumId w:val="4"/>
  </w:num>
  <w:num w:numId="4">
    <w:abstractNumId w:val="8"/>
  </w:num>
  <w:num w:numId="5">
    <w:abstractNumId w:val="6"/>
  </w:num>
  <w:num w:numId="6">
    <w:abstractNumId w:val="5"/>
  </w:num>
  <w:num w:numId="7">
    <w:abstractNumId w:val="2"/>
  </w:num>
  <w:num w:numId="8">
    <w:abstractNumId w:val="7"/>
  </w:num>
  <w:num w:numId="9">
    <w:abstractNumId w:val="3"/>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2BD"/>
    <w:rsid w:val="00034780"/>
    <w:rsid w:val="0008303A"/>
    <w:rsid w:val="000852DF"/>
    <w:rsid w:val="00406D4F"/>
    <w:rsid w:val="004762BD"/>
    <w:rsid w:val="00892845"/>
    <w:rsid w:val="00A07C48"/>
    <w:rsid w:val="00B42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62BD"/>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basedOn w:val="a2"/>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basedOn w:val="a2"/>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basedOn w:val="a2"/>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semiHidden/>
    <w:rsid w:val="004762BD"/>
    <w:rPr>
      <w:sz w:val="20"/>
      <w:szCs w:val="20"/>
    </w:rPr>
  </w:style>
  <w:style w:type="character" w:customStyle="1" w:styleId="af0">
    <w:name w:val="Текст сноски Знак"/>
    <w:basedOn w:val="a2"/>
    <w:link w:val="af"/>
    <w:semiHidden/>
    <w:rsid w:val="004762BD"/>
    <w:rPr>
      <w:rFonts w:ascii="Times New Roman" w:eastAsia="Times New Roman" w:hAnsi="Times New Roman" w:cs="Times New Roman"/>
      <w:sz w:val="20"/>
      <w:szCs w:val="20"/>
      <w:lang w:eastAsia="ru-RU"/>
    </w:rPr>
  </w:style>
  <w:style w:type="character" w:styleId="af1">
    <w:name w:val="footnote reference"/>
    <w:semiHidden/>
    <w:rsid w:val="004762BD"/>
    <w:rPr>
      <w:vertAlign w:val="superscript"/>
    </w:rPr>
  </w:style>
  <w:style w:type="paragraph" w:styleId="af2">
    <w:name w:val="header"/>
    <w:basedOn w:val="a1"/>
    <w:link w:val="af3"/>
    <w:uiPriority w:val="99"/>
    <w:rsid w:val="004762BD"/>
    <w:pPr>
      <w:tabs>
        <w:tab w:val="center" w:pos="4677"/>
        <w:tab w:val="right" w:pos="9355"/>
      </w:tabs>
    </w:pPr>
    <w:rPr>
      <w:lang w:val="x-none" w:eastAsia="x-none"/>
    </w:rPr>
  </w:style>
  <w:style w:type="character" w:customStyle="1" w:styleId="af3">
    <w:name w:val="Верхний колонтитул Знак"/>
    <w:basedOn w:val="a2"/>
    <w:link w:val="af2"/>
    <w:uiPriority w:val="99"/>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basedOn w:val="a2"/>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after="0" w:line="240" w:lineRule="auto"/>
      <w:jc w:val="both"/>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62BD"/>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basedOn w:val="a2"/>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basedOn w:val="a2"/>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basedOn w:val="a2"/>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semiHidden/>
    <w:rsid w:val="004762BD"/>
    <w:rPr>
      <w:sz w:val="20"/>
      <w:szCs w:val="20"/>
    </w:rPr>
  </w:style>
  <w:style w:type="character" w:customStyle="1" w:styleId="af0">
    <w:name w:val="Текст сноски Знак"/>
    <w:basedOn w:val="a2"/>
    <w:link w:val="af"/>
    <w:semiHidden/>
    <w:rsid w:val="004762BD"/>
    <w:rPr>
      <w:rFonts w:ascii="Times New Roman" w:eastAsia="Times New Roman" w:hAnsi="Times New Roman" w:cs="Times New Roman"/>
      <w:sz w:val="20"/>
      <w:szCs w:val="20"/>
      <w:lang w:eastAsia="ru-RU"/>
    </w:rPr>
  </w:style>
  <w:style w:type="character" w:styleId="af1">
    <w:name w:val="footnote reference"/>
    <w:semiHidden/>
    <w:rsid w:val="004762BD"/>
    <w:rPr>
      <w:vertAlign w:val="superscript"/>
    </w:rPr>
  </w:style>
  <w:style w:type="paragraph" w:styleId="af2">
    <w:name w:val="header"/>
    <w:basedOn w:val="a1"/>
    <w:link w:val="af3"/>
    <w:uiPriority w:val="99"/>
    <w:rsid w:val="004762BD"/>
    <w:pPr>
      <w:tabs>
        <w:tab w:val="center" w:pos="4677"/>
        <w:tab w:val="right" w:pos="9355"/>
      </w:tabs>
    </w:pPr>
    <w:rPr>
      <w:lang w:val="x-none" w:eastAsia="x-none"/>
    </w:rPr>
  </w:style>
  <w:style w:type="character" w:customStyle="1" w:styleId="af3">
    <w:name w:val="Верхний колонтитул Знак"/>
    <w:basedOn w:val="a2"/>
    <w:link w:val="af2"/>
    <w:uiPriority w:val="99"/>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basedOn w:val="a2"/>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after="0" w:line="240" w:lineRule="auto"/>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F43D8-7B61-43E1-831E-7B45292A4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1330</Words>
  <Characters>9260</Characters>
  <Application>Microsoft Office Word</Application>
  <DocSecurity>0</DocSecurity>
  <Lines>159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LoshkarevaKV</dc:creator>
  <cp:lastModifiedBy>LoshkarevaKV</cp:lastModifiedBy>
  <cp:revision>2</cp:revision>
  <dcterms:created xsi:type="dcterms:W3CDTF">2013-10-10T12:59:00Z</dcterms:created>
  <dcterms:modified xsi:type="dcterms:W3CDTF">2013-10-10T13:45:00Z</dcterms:modified>
</cp:coreProperties>
</file>