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DB" w:rsidRDefault="009876DB" w:rsidP="009876DB">
      <w:pPr>
        <w:pStyle w:val="Default"/>
      </w:pPr>
    </w:p>
    <w:p w:rsidR="008D37E9" w:rsidRPr="008D37E9" w:rsidRDefault="008D37E9" w:rsidP="008D37E9">
      <w:pPr>
        <w:pStyle w:val="Default"/>
        <w:ind w:left="5670"/>
        <w:rPr>
          <w:b/>
          <w:bCs/>
          <w:sz w:val="22"/>
          <w:szCs w:val="22"/>
        </w:rPr>
      </w:pPr>
      <w:r w:rsidRPr="009876DB">
        <w:rPr>
          <w:b/>
          <w:bCs/>
          <w:sz w:val="22"/>
          <w:szCs w:val="22"/>
        </w:rPr>
        <w:t>Утверждены</w:t>
      </w:r>
    </w:p>
    <w:p w:rsidR="008D37E9" w:rsidRPr="008D37E9" w:rsidRDefault="008D37E9" w:rsidP="008D37E9">
      <w:pPr>
        <w:pStyle w:val="Default"/>
        <w:ind w:left="5670"/>
        <w:rPr>
          <w:b/>
          <w:bCs/>
          <w:sz w:val="22"/>
          <w:szCs w:val="22"/>
        </w:rPr>
      </w:pPr>
      <w:r w:rsidRPr="008D37E9">
        <w:rPr>
          <w:b/>
          <w:bCs/>
          <w:sz w:val="22"/>
          <w:szCs w:val="22"/>
        </w:rPr>
        <w:t>Наблюдательным советом ПАО Московская Биржа 31 июля 2015 г. (Протокол №6)</w:t>
      </w:r>
    </w:p>
    <w:p w:rsidR="00535020" w:rsidRPr="00FE4812" w:rsidRDefault="00535020" w:rsidP="00535020">
      <w:pPr>
        <w:pStyle w:val="125"/>
        <w:tabs>
          <w:tab w:val="left" w:pos="1620"/>
        </w:tabs>
        <w:ind w:firstLine="0"/>
        <w:rPr>
          <w:rFonts w:ascii="Times New Roman" w:hAnsi="Times New Roman"/>
          <w:b/>
          <w:sz w:val="2"/>
          <w:szCs w:val="22"/>
        </w:rPr>
      </w:pPr>
    </w:p>
    <w:p w:rsidR="00127378" w:rsidRDefault="00127378" w:rsidP="00FE4812">
      <w:pPr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</w:rPr>
      </w:pPr>
    </w:p>
    <w:p w:rsidR="00535020" w:rsidRPr="00FE4812" w:rsidRDefault="00535020" w:rsidP="00FE4812">
      <w:pPr>
        <w:tabs>
          <w:tab w:val="left" w:pos="0"/>
        </w:tabs>
        <w:spacing w:after="0"/>
        <w:jc w:val="center"/>
        <w:rPr>
          <w:rFonts w:ascii="Times New Roman" w:eastAsia="Arial" w:hAnsi="Times New Roman" w:cs="Times New Roman"/>
          <w:b/>
        </w:rPr>
      </w:pPr>
      <w:r w:rsidRPr="00FE4812">
        <w:rPr>
          <w:rFonts w:ascii="Times New Roman" w:eastAsia="Arial" w:hAnsi="Times New Roman" w:cs="Times New Roman"/>
          <w:b/>
        </w:rPr>
        <w:t>Тарифы ПАО Московская Биржа при совершении сделок с драгоценными металлами (далее – Тарифы)</w:t>
      </w:r>
    </w:p>
    <w:p w:rsidR="00535020" w:rsidRPr="00FE4812" w:rsidRDefault="00535020" w:rsidP="00FE4812">
      <w:pPr>
        <w:numPr>
          <w:ilvl w:val="0"/>
          <w:numId w:val="29"/>
        </w:numPr>
        <w:tabs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с</w:t>
      </w:r>
      <w:r w:rsidRPr="00FE4812" w:rsidDel="00E34DE8">
        <w:rPr>
          <w:rFonts w:ascii="Times New Roman" w:hAnsi="Times New Roman" w:cs="Times New Roman"/>
          <w:bCs/>
        </w:rPr>
        <w:t xml:space="preserve"> </w:t>
      </w:r>
      <w:r w:rsidRPr="00FE4812">
        <w:rPr>
          <w:rFonts w:ascii="Times New Roman" w:hAnsi="Times New Roman" w:cs="Times New Roman"/>
          <w:bCs/>
        </w:rPr>
        <w:t>драгоценными металлами на организованных торгах: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 xml:space="preserve">При </w:t>
      </w:r>
      <w:r w:rsidRPr="00FE4812">
        <w:rPr>
          <w:rFonts w:ascii="Times New Roman" w:hAnsi="Times New Roman" w:cs="Times New Roman"/>
        </w:rPr>
        <w:t xml:space="preserve">заключении сделок спот </w:t>
      </w:r>
      <w:r w:rsidRPr="00FE4812">
        <w:rPr>
          <w:rFonts w:ascii="Times New Roman" w:hAnsi="Times New Roman" w:cs="Times New Roman"/>
          <w:bCs/>
        </w:rPr>
        <w:t>оборотная часть комиссионного вознаграждения устанавливается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5007"/>
      </w:tblGrid>
      <w:tr w:rsidR="00535020" w:rsidRPr="00FE4812" w:rsidTr="00FA354B">
        <w:tc>
          <w:tcPr>
            <w:tcW w:w="4890" w:type="dxa"/>
            <w:vAlign w:val="center"/>
          </w:tcPr>
          <w:p w:rsidR="00535020" w:rsidRPr="00FE4812" w:rsidRDefault="00535020" w:rsidP="00FA354B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812">
              <w:rPr>
                <w:rFonts w:ascii="Times New Roman" w:hAnsi="Times New Roman" w:cs="Times New Roman"/>
                <w:b/>
              </w:rPr>
              <w:t>Вид вознаграждения</w:t>
            </w:r>
          </w:p>
        </w:tc>
        <w:tc>
          <w:tcPr>
            <w:tcW w:w="5007" w:type="dxa"/>
            <w:vAlign w:val="center"/>
          </w:tcPr>
          <w:p w:rsidR="00535020" w:rsidRPr="00FE4812" w:rsidRDefault="00535020" w:rsidP="00FA354B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812">
              <w:rPr>
                <w:rFonts w:ascii="Times New Roman" w:hAnsi="Times New Roman" w:cs="Times New Roman"/>
                <w:b/>
                <w:bCs/>
              </w:rPr>
              <w:t>Оборотная часть (размер комиссионного вознаграждения, взимаемого от объема каждой сделки спот в сопряженной валюте</w:t>
            </w:r>
            <w:r w:rsidRPr="00FE4812" w:rsidDel="00D034A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E4812">
              <w:rPr>
                <w:rFonts w:ascii="Times New Roman" w:hAnsi="Times New Roman" w:cs="Times New Roman"/>
                <w:b/>
                <w:bCs/>
              </w:rPr>
              <w:t>(%))</w:t>
            </w:r>
          </w:p>
        </w:tc>
      </w:tr>
      <w:tr w:rsidR="00535020" w:rsidRPr="00FE4812" w:rsidTr="00FA354B">
        <w:tc>
          <w:tcPr>
            <w:tcW w:w="4890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bCs/>
                <w:color w:val="000000"/>
                <w:kern w:val="24"/>
                <w:sz w:val="22"/>
                <w:szCs w:val="22"/>
              </w:rPr>
              <w:t>Комиссионное вознаграждение за организацию торгов</w:t>
            </w:r>
          </w:p>
        </w:tc>
        <w:tc>
          <w:tcPr>
            <w:tcW w:w="5007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0,006375%</w:t>
            </w:r>
          </w:p>
        </w:tc>
      </w:tr>
    </w:tbl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сделок своп и своп контрактов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своп/своп контрактов: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1261"/>
        <w:gridCol w:w="1232"/>
        <w:gridCol w:w="2470"/>
        <w:gridCol w:w="2469"/>
      </w:tblGrid>
      <w:tr w:rsidR="00535020" w:rsidRPr="00FE4812" w:rsidTr="00FA354B">
        <w:tc>
          <w:tcPr>
            <w:tcW w:w="2472" w:type="dxa"/>
            <w:vMerge w:val="restart"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7432" w:type="dxa"/>
            <w:gridSpan w:val="4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535020" w:rsidRPr="00FE4812" w:rsidTr="00845131">
        <w:trPr>
          <w:trHeight w:val="691"/>
        </w:trPr>
        <w:tc>
          <w:tcPr>
            <w:tcW w:w="2472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По сделкам своп</w:t>
            </w:r>
          </w:p>
        </w:tc>
        <w:tc>
          <w:tcPr>
            <w:tcW w:w="6171" w:type="dxa"/>
            <w:gridSpan w:val="3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FE4812">
              <w:rPr>
                <w:bCs/>
                <w:kern w:val="24"/>
                <w:sz w:val="22"/>
                <w:szCs w:val="22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535020" w:rsidRPr="00FE4812" w:rsidTr="00845131">
        <w:trPr>
          <w:trHeight w:val="178"/>
        </w:trPr>
        <w:tc>
          <w:tcPr>
            <w:tcW w:w="2472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1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2470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1 месяц</w:t>
            </w:r>
          </w:p>
        </w:tc>
        <w:tc>
          <w:tcPr>
            <w:tcW w:w="2469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6 месяцев</w:t>
            </w:r>
          </w:p>
        </w:tc>
      </w:tr>
      <w:tr w:rsidR="00535020" w:rsidRPr="00FE4812" w:rsidTr="00FA354B">
        <w:tc>
          <w:tcPr>
            <w:tcW w:w="2472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Комиссионное вознаграждение за организацию торгов</w:t>
            </w:r>
          </w:p>
        </w:tc>
        <w:tc>
          <w:tcPr>
            <w:tcW w:w="2493" w:type="dxa"/>
            <w:gridSpan w:val="2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21250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470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85000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  <w:tc>
          <w:tcPr>
            <w:tcW w:w="2469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21250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%</w:t>
            </w:r>
          </w:p>
        </w:tc>
      </w:tr>
    </w:tbl>
    <w:p w:rsidR="00535020" w:rsidRPr="00FE4812" w:rsidRDefault="00535020" w:rsidP="00535020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Оборотная часть комиссионного вознаграждения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поставочных фьючерсных контрактов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418"/>
        <w:gridCol w:w="1275"/>
        <w:gridCol w:w="1276"/>
        <w:gridCol w:w="1418"/>
        <w:gridCol w:w="1275"/>
        <w:gridCol w:w="1418"/>
      </w:tblGrid>
      <w:tr w:rsidR="00535020" w:rsidRPr="00FE4812" w:rsidTr="00FE4812">
        <w:trPr>
          <w:trHeight w:val="737"/>
        </w:trPr>
        <w:tc>
          <w:tcPr>
            <w:tcW w:w="1843" w:type="dxa"/>
            <w:vMerge w:val="restart"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8080" w:type="dxa"/>
            <w:gridSpan w:val="6"/>
            <w:vAlign w:val="center"/>
          </w:tcPr>
          <w:p w:rsidR="00535020" w:rsidRPr="00FE4812" w:rsidRDefault="00535020" w:rsidP="00FA354B">
            <w:pPr>
              <w:pStyle w:val="aff"/>
              <w:spacing w:before="120" w:after="120" w:line="276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комиссионного вознаграждения, взимаемого от объема каждой сделки в сопряженной валюте (%))</w:t>
            </w:r>
          </w:p>
        </w:tc>
      </w:tr>
      <w:tr w:rsidR="00535020" w:rsidRPr="00FE4812" w:rsidTr="00FE4812">
        <w:trPr>
          <w:trHeight w:val="737"/>
        </w:trPr>
        <w:tc>
          <w:tcPr>
            <w:tcW w:w="1843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Срок исполнения обязательств по поставочным фьючерсам:</w:t>
            </w:r>
          </w:p>
        </w:tc>
      </w:tr>
      <w:tr w:rsidR="00535020" w:rsidRPr="00FE4812" w:rsidTr="00FE4812">
        <w:trPr>
          <w:trHeight w:val="737"/>
        </w:trPr>
        <w:tc>
          <w:tcPr>
            <w:tcW w:w="1843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2 дн. –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br/>
              <w:t>6 дн.</w:t>
            </w:r>
            <w:r w:rsidRPr="00FE481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FE4812">
              <w:rPr>
                <w:b/>
                <w:bCs/>
                <w:kern w:val="24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75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7 дн. –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br/>
              <w:t>29 дн.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6D3F35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30 дн. –89</w:t>
            </w:r>
            <w:r w:rsidR="006D3F35" w:rsidRPr="00FE4812">
              <w:rPr>
                <w:b/>
                <w:bCs/>
                <w:kern w:val="24"/>
                <w:sz w:val="22"/>
                <w:szCs w:val="22"/>
              </w:rPr>
              <w:t> 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t>дн.</w:t>
            </w:r>
          </w:p>
        </w:tc>
        <w:tc>
          <w:tcPr>
            <w:tcW w:w="1418" w:type="dxa"/>
            <w:vAlign w:val="center"/>
          </w:tcPr>
          <w:p w:rsidR="00535020" w:rsidRPr="00FE4812" w:rsidRDefault="006D3F35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90 дн. –179 </w:t>
            </w:r>
            <w:r w:rsidR="00535020" w:rsidRPr="00FE4812">
              <w:rPr>
                <w:b/>
                <w:bCs/>
                <w:kern w:val="24"/>
                <w:sz w:val="22"/>
                <w:szCs w:val="22"/>
              </w:rPr>
              <w:t>дн.</w:t>
            </w:r>
          </w:p>
        </w:tc>
        <w:tc>
          <w:tcPr>
            <w:tcW w:w="1275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180 дн. –269 дн.</w:t>
            </w:r>
          </w:p>
        </w:tc>
        <w:tc>
          <w:tcPr>
            <w:tcW w:w="1418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270 дн. –364 дн.</w:t>
            </w:r>
          </w:p>
        </w:tc>
      </w:tr>
      <w:tr w:rsidR="00535020" w:rsidRPr="00FE4812" w:rsidTr="00FE4812">
        <w:trPr>
          <w:trHeight w:val="282"/>
        </w:trPr>
        <w:tc>
          <w:tcPr>
            <w:tcW w:w="1843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kern w:val="24"/>
                <w:sz w:val="22"/>
                <w:szCs w:val="22"/>
              </w:rPr>
              <w:lastRenderedPageBreak/>
              <w:t>Комиссионное вознаграждение за организацию торгов</w:t>
            </w:r>
          </w:p>
        </w:tc>
        <w:tc>
          <w:tcPr>
            <w:tcW w:w="1418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0"/>
                <w:szCs w:val="22"/>
              </w:rPr>
            </w:pPr>
            <w:r w:rsidRPr="00FE4812">
              <w:rPr>
                <w:kern w:val="24"/>
                <w:sz w:val="20"/>
                <w:szCs w:val="22"/>
              </w:rPr>
              <w:t>0,0021250%</w:t>
            </w:r>
          </w:p>
        </w:tc>
        <w:tc>
          <w:tcPr>
            <w:tcW w:w="1275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0"/>
                <w:szCs w:val="22"/>
              </w:rPr>
            </w:pPr>
            <w:r w:rsidRPr="00FE4812">
              <w:rPr>
                <w:kern w:val="24"/>
                <w:sz w:val="20"/>
                <w:szCs w:val="22"/>
              </w:rPr>
              <w:t>0,0042</w:t>
            </w:r>
            <w:r w:rsidRPr="00FE4812">
              <w:rPr>
                <w:kern w:val="24"/>
                <w:sz w:val="20"/>
                <w:szCs w:val="22"/>
                <w:lang w:val="en-US"/>
              </w:rPr>
              <w:t>500</w:t>
            </w:r>
            <w:r w:rsidRPr="00FE4812">
              <w:rPr>
                <w:kern w:val="24"/>
                <w:sz w:val="20"/>
                <w:szCs w:val="22"/>
              </w:rPr>
              <w:t>%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0"/>
                <w:szCs w:val="22"/>
              </w:rPr>
            </w:pPr>
            <w:r w:rsidRPr="00FE4812">
              <w:rPr>
                <w:kern w:val="24"/>
                <w:sz w:val="20"/>
                <w:szCs w:val="22"/>
              </w:rPr>
              <w:t>0,00</w:t>
            </w:r>
            <w:r w:rsidRPr="00FE4812">
              <w:rPr>
                <w:kern w:val="24"/>
                <w:sz w:val="20"/>
                <w:szCs w:val="22"/>
                <w:lang w:val="en-US"/>
              </w:rPr>
              <w:t>85000</w:t>
            </w:r>
            <w:r w:rsidRPr="00FE4812">
              <w:rPr>
                <w:kern w:val="24"/>
                <w:sz w:val="20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0"/>
                <w:szCs w:val="22"/>
              </w:rPr>
            </w:pPr>
            <w:r w:rsidRPr="00FE4812">
              <w:rPr>
                <w:kern w:val="24"/>
                <w:sz w:val="20"/>
                <w:szCs w:val="22"/>
              </w:rPr>
              <w:t>0,0</w:t>
            </w:r>
            <w:r w:rsidRPr="00FE4812">
              <w:rPr>
                <w:kern w:val="24"/>
                <w:sz w:val="20"/>
                <w:szCs w:val="22"/>
                <w:lang w:val="en-US"/>
              </w:rPr>
              <w:t>127500</w:t>
            </w:r>
            <w:r w:rsidRPr="00FE4812">
              <w:rPr>
                <w:kern w:val="24"/>
                <w:sz w:val="20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0"/>
                <w:szCs w:val="22"/>
              </w:rPr>
            </w:pPr>
            <w:r w:rsidRPr="00FE4812">
              <w:rPr>
                <w:kern w:val="24"/>
                <w:sz w:val="20"/>
                <w:szCs w:val="22"/>
              </w:rPr>
              <w:t>0,0</w:t>
            </w:r>
            <w:r w:rsidRPr="00FE4812">
              <w:rPr>
                <w:kern w:val="24"/>
                <w:sz w:val="20"/>
                <w:szCs w:val="22"/>
                <w:lang w:val="en-US"/>
              </w:rPr>
              <w:t>212500</w:t>
            </w:r>
            <w:r w:rsidRPr="00FE4812">
              <w:rPr>
                <w:kern w:val="24"/>
                <w:sz w:val="20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0"/>
                <w:szCs w:val="22"/>
              </w:rPr>
            </w:pPr>
            <w:r w:rsidRPr="00FE4812">
              <w:rPr>
                <w:kern w:val="24"/>
                <w:sz w:val="20"/>
                <w:szCs w:val="22"/>
              </w:rPr>
              <w:t>0,031875</w:t>
            </w:r>
            <w:r w:rsidRPr="00FE4812">
              <w:rPr>
                <w:kern w:val="24"/>
                <w:sz w:val="20"/>
                <w:szCs w:val="22"/>
                <w:lang w:val="en-US"/>
              </w:rPr>
              <w:t>0</w:t>
            </w:r>
            <w:r w:rsidRPr="00FE4812">
              <w:rPr>
                <w:kern w:val="24"/>
                <w:sz w:val="20"/>
                <w:szCs w:val="22"/>
              </w:rPr>
              <w:t>%</w:t>
            </w:r>
          </w:p>
        </w:tc>
      </w:tr>
    </w:tbl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Участником торгов сделок с драгоценными металлами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0,42 российского рубля за одну сделку.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Комиссионное вознаграждение за организацию торгов при заключении Участником торгов сделок с драгоценными металлами уплачивается Участником торгов в соответствии с правилами торгов, регламентирующими порядок заключения сделок с драгоценными металлами на организованных торгах ПАО Московская Биржа (далее – Правила торгов),</w:t>
      </w:r>
      <w:r w:rsidRPr="00FE4812" w:rsidDel="0074472E">
        <w:rPr>
          <w:rFonts w:ascii="Times New Roman" w:hAnsi="Times New Roman" w:cs="Times New Roman"/>
          <w:bCs/>
        </w:rPr>
        <w:t xml:space="preserve"> </w:t>
      </w:r>
      <w:r w:rsidRPr="00FE4812">
        <w:rPr>
          <w:rFonts w:ascii="Times New Roman" w:hAnsi="Times New Roman" w:cs="Times New Roman"/>
          <w:bCs/>
        </w:rPr>
        <w:t>в российских рублях в следующем порядке:</w:t>
      </w:r>
    </w:p>
    <w:p w:rsidR="00535020" w:rsidRPr="00FE4812" w:rsidRDefault="00535020" w:rsidP="00535020">
      <w:pPr>
        <w:tabs>
          <w:tab w:val="left" w:pos="-1985"/>
          <w:tab w:val="left" w:pos="993"/>
        </w:tabs>
        <w:spacing w:before="120" w:after="120"/>
        <w:ind w:left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1.5.1.</w:t>
      </w:r>
      <w:r w:rsidRPr="00FE4812">
        <w:rPr>
          <w:rFonts w:ascii="Times New Roman" w:hAnsi="Times New Roman" w:cs="Times New Roman"/>
          <w:bCs/>
        </w:rPr>
        <w:tab/>
        <w:t>оборотная часть вознаграждения в размере, установленном в подпунктах 1.1, 1.2 и 1.3 пункта 1 настоящих Тарифов, и комиссионное вознаграждение, взимаемое из расчета минимальной ставки комиссионного вознаграждения, установленной подпунктом 1.4 пункта 1 настоящих Тарифов, в день заключения сделки удерживается Банком НКЦ (АО) с расчетного кода соответствующего Участника клиринга и перечисляется ПАО Московская Биржа.</w:t>
      </w:r>
    </w:p>
    <w:p w:rsidR="00535020" w:rsidRPr="00FE4812" w:rsidRDefault="00535020" w:rsidP="00535020">
      <w:pPr>
        <w:numPr>
          <w:ilvl w:val="0"/>
          <w:numId w:val="29"/>
        </w:numPr>
        <w:tabs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Размер, порядок расчета и сроки уплаты вознаграждения ПАО Московская Биржа за предоставление интегрированного технологического сервиса (далее – ИТС) при заключении Участником торгов – пользователем ПТК ТЦ сделок с драгоценными металлами на организованных торгах: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сделок спот оборотная часть вознаграждения за предоставление ИТС устанавливаются в следующем размере:</w:t>
      </w:r>
    </w:p>
    <w:p w:rsidR="00845131" w:rsidRPr="00FE4812" w:rsidRDefault="00845131" w:rsidP="00845131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5007"/>
      </w:tblGrid>
      <w:tr w:rsidR="00535020" w:rsidRPr="00FE4812" w:rsidTr="00FA354B">
        <w:tc>
          <w:tcPr>
            <w:tcW w:w="4890" w:type="dxa"/>
            <w:vAlign w:val="center"/>
          </w:tcPr>
          <w:p w:rsidR="00535020" w:rsidRPr="00FE4812" w:rsidRDefault="00535020" w:rsidP="00FA354B">
            <w:pPr>
              <w:tabs>
                <w:tab w:val="left" w:pos="720"/>
                <w:tab w:val="left" w:pos="108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E4812">
              <w:rPr>
                <w:rFonts w:ascii="Times New Roman" w:hAnsi="Times New Roman" w:cs="Times New Roman"/>
                <w:b/>
              </w:rPr>
              <w:t>Вид вознаграждения</w:t>
            </w:r>
          </w:p>
        </w:tc>
        <w:tc>
          <w:tcPr>
            <w:tcW w:w="5007" w:type="dxa"/>
            <w:vAlign w:val="center"/>
          </w:tcPr>
          <w:p w:rsidR="00535020" w:rsidRPr="00FE4812" w:rsidRDefault="00535020" w:rsidP="00FA354B">
            <w:pPr>
              <w:pStyle w:val="NoSpacing1"/>
              <w:keepNext/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FE4812">
              <w:rPr>
                <w:rFonts w:ascii="Times New Roman" w:hAnsi="Times New Roman"/>
                <w:b/>
                <w:lang w:val="ru-RU" w:eastAsia="ru-RU"/>
              </w:rPr>
              <w:t xml:space="preserve">Оборотная часть </w:t>
            </w:r>
            <w:r w:rsidRPr="00FE4812">
              <w:rPr>
                <w:rFonts w:ascii="Times New Roman" w:hAnsi="Times New Roman"/>
                <w:b/>
                <w:lang w:val="ru-RU"/>
              </w:rPr>
              <w:t>(размер вознаграждения за предоставление ИТС, взимаемого от объема каждой сделки спот в сопряженной валюте (%))</w:t>
            </w:r>
          </w:p>
        </w:tc>
      </w:tr>
      <w:tr w:rsidR="00535020" w:rsidRPr="00FE4812" w:rsidTr="00FA354B">
        <w:tc>
          <w:tcPr>
            <w:tcW w:w="4890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Комиссионное вознаграждение за предоставление ИТС</w:t>
            </w:r>
          </w:p>
        </w:tc>
        <w:tc>
          <w:tcPr>
            <w:tcW w:w="5007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0,002250%</w:t>
            </w:r>
          </w:p>
        </w:tc>
      </w:tr>
    </w:tbl>
    <w:p w:rsidR="00845131" w:rsidRPr="00FE4812" w:rsidRDefault="00845131" w:rsidP="00845131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сделок своп и своп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второй части сделок своп/своп контрактов: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483"/>
        <w:gridCol w:w="1173"/>
        <w:gridCol w:w="2344"/>
        <w:gridCol w:w="2336"/>
      </w:tblGrid>
      <w:tr w:rsidR="00535020" w:rsidRPr="00FE4812" w:rsidTr="00D5727C">
        <w:trPr>
          <w:trHeight w:val="400"/>
        </w:trPr>
        <w:tc>
          <w:tcPr>
            <w:tcW w:w="2127" w:type="dxa"/>
            <w:vMerge w:val="restart"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7336" w:type="dxa"/>
            <w:gridSpan w:val="4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вознаграждения за предоставление ИТС, взимаемого от объема каждой первой части сделки своп/своп контракта в сопряженной валюте (%))</w:t>
            </w:r>
          </w:p>
        </w:tc>
      </w:tr>
      <w:tr w:rsidR="00535020" w:rsidRPr="00FE4812" w:rsidTr="00D5727C">
        <w:trPr>
          <w:trHeight w:val="595"/>
        </w:trPr>
        <w:tc>
          <w:tcPr>
            <w:tcW w:w="2127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vMerge w:val="restart"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По сделкам своп</w:t>
            </w:r>
          </w:p>
        </w:tc>
        <w:tc>
          <w:tcPr>
            <w:tcW w:w="5853" w:type="dxa"/>
            <w:gridSpan w:val="3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Cs/>
                <w:kern w:val="24"/>
                <w:sz w:val="22"/>
                <w:szCs w:val="22"/>
              </w:rPr>
            </w:pPr>
            <w:r w:rsidRPr="00FE4812">
              <w:rPr>
                <w:bCs/>
                <w:kern w:val="24"/>
                <w:sz w:val="22"/>
                <w:szCs w:val="22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535020" w:rsidRPr="00FE4812" w:rsidTr="00D5727C">
        <w:trPr>
          <w:trHeight w:val="82"/>
        </w:trPr>
        <w:tc>
          <w:tcPr>
            <w:tcW w:w="2127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7 дней</w:t>
            </w:r>
          </w:p>
        </w:tc>
        <w:tc>
          <w:tcPr>
            <w:tcW w:w="2344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1 месяц</w:t>
            </w:r>
          </w:p>
        </w:tc>
        <w:tc>
          <w:tcPr>
            <w:tcW w:w="233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6 месяцев</w:t>
            </w:r>
          </w:p>
        </w:tc>
      </w:tr>
      <w:tr w:rsidR="00535020" w:rsidRPr="00FE4812" w:rsidTr="00D5727C">
        <w:tc>
          <w:tcPr>
            <w:tcW w:w="2127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Комиссионное вознаграждение за предоставление ИТС</w:t>
            </w:r>
          </w:p>
        </w:tc>
        <w:tc>
          <w:tcPr>
            <w:tcW w:w="2656" w:type="dxa"/>
            <w:gridSpan w:val="2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0,0000750%</w:t>
            </w:r>
          </w:p>
        </w:tc>
        <w:tc>
          <w:tcPr>
            <w:tcW w:w="2344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0,0003000%</w:t>
            </w:r>
          </w:p>
        </w:tc>
        <w:tc>
          <w:tcPr>
            <w:tcW w:w="233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0,0007500%</w:t>
            </w:r>
          </w:p>
        </w:tc>
      </w:tr>
    </w:tbl>
    <w:p w:rsidR="00845131" w:rsidRPr="00FE4812" w:rsidRDefault="00845131" w:rsidP="00535020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</w:p>
    <w:p w:rsidR="00535020" w:rsidRPr="00FE4812" w:rsidRDefault="00535020" w:rsidP="00535020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Оборотная часть вознаграждения за предоставление ИТС рассчитывается для каждого Участника торгов по первым частям сделок своп/своп контрактов от объема каждой сделки по сопряженной валюте лота.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lastRenderedPageBreak/>
        <w:t>При заключении поставочных фьючерсных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поставочному фьючерсу:</w:t>
      </w:r>
    </w:p>
    <w:p w:rsidR="00845131" w:rsidRPr="00FE4812" w:rsidRDefault="00845131" w:rsidP="00845131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134"/>
        <w:gridCol w:w="1275"/>
        <w:gridCol w:w="1276"/>
        <w:gridCol w:w="1276"/>
        <w:gridCol w:w="1276"/>
        <w:gridCol w:w="1134"/>
      </w:tblGrid>
      <w:tr w:rsidR="00535020" w:rsidRPr="00FE4812" w:rsidTr="003E34B3">
        <w:trPr>
          <w:trHeight w:val="613"/>
        </w:trPr>
        <w:tc>
          <w:tcPr>
            <w:tcW w:w="2127" w:type="dxa"/>
            <w:vMerge w:val="restart"/>
            <w:vAlign w:val="center"/>
          </w:tcPr>
          <w:p w:rsidR="00535020" w:rsidRPr="00FE4812" w:rsidRDefault="00535020" w:rsidP="00FA354B">
            <w:pPr>
              <w:pStyle w:val="aff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sz w:val="22"/>
                <w:szCs w:val="22"/>
              </w:rPr>
              <w:t>Вид вознаграждения</w:t>
            </w:r>
          </w:p>
        </w:tc>
        <w:tc>
          <w:tcPr>
            <w:tcW w:w="7371" w:type="dxa"/>
            <w:gridSpan w:val="6"/>
            <w:vAlign w:val="center"/>
          </w:tcPr>
          <w:p w:rsidR="00535020" w:rsidRPr="00FE4812" w:rsidRDefault="00535020" w:rsidP="00FA354B">
            <w:pPr>
              <w:pStyle w:val="aff"/>
              <w:spacing w:before="120" w:after="120" w:line="276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Оборотная часть (размер вознаграждения за предоставление ИТС, взимаемого от объема каждой сделки в сопряженной валюте (%))</w:t>
            </w:r>
          </w:p>
        </w:tc>
      </w:tr>
      <w:tr w:rsidR="00535020" w:rsidRPr="00FE4812" w:rsidTr="003E34B3">
        <w:trPr>
          <w:trHeight w:val="551"/>
        </w:trPr>
        <w:tc>
          <w:tcPr>
            <w:tcW w:w="2127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bCs/>
                <w:kern w:val="24"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Срок исполнения обязательств по поставочным фьючерсам:</w:t>
            </w:r>
          </w:p>
        </w:tc>
      </w:tr>
      <w:tr w:rsidR="00535020" w:rsidRPr="00FE4812" w:rsidTr="003E34B3">
        <w:trPr>
          <w:trHeight w:val="559"/>
        </w:trPr>
        <w:tc>
          <w:tcPr>
            <w:tcW w:w="2127" w:type="dxa"/>
            <w:vMerge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2 дн. –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br/>
              <w:t>6 дн.</w:t>
            </w:r>
            <w:r w:rsidRPr="00FE4812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FE4812">
              <w:rPr>
                <w:b/>
                <w:bCs/>
                <w:kern w:val="24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275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7 дн. –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br/>
              <w:t>29 дн.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3E34B3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30 дн. –89</w:t>
            </w:r>
            <w:r w:rsidR="003E34B3" w:rsidRPr="00FE4812">
              <w:rPr>
                <w:b/>
                <w:bCs/>
                <w:kern w:val="24"/>
                <w:sz w:val="22"/>
                <w:szCs w:val="22"/>
              </w:rPr>
              <w:t> 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t>дн.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3E34B3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90 дн. –179</w:t>
            </w:r>
            <w:r w:rsidR="003E34B3" w:rsidRPr="00FE4812">
              <w:rPr>
                <w:b/>
                <w:bCs/>
                <w:kern w:val="24"/>
                <w:sz w:val="22"/>
                <w:szCs w:val="22"/>
              </w:rPr>
              <w:t> </w:t>
            </w:r>
            <w:r w:rsidRPr="00FE4812">
              <w:rPr>
                <w:b/>
                <w:bCs/>
                <w:kern w:val="24"/>
                <w:sz w:val="22"/>
                <w:szCs w:val="22"/>
              </w:rPr>
              <w:t>дн.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180 дн. –269 дн.</w:t>
            </w:r>
          </w:p>
        </w:tc>
        <w:tc>
          <w:tcPr>
            <w:tcW w:w="1134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ind w:left="115" w:right="115"/>
              <w:jc w:val="center"/>
              <w:rPr>
                <w:b/>
                <w:sz w:val="22"/>
                <w:szCs w:val="22"/>
              </w:rPr>
            </w:pPr>
            <w:r w:rsidRPr="00FE4812">
              <w:rPr>
                <w:b/>
                <w:bCs/>
                <w:kern w:val="24"/>
                <w:sz w:val="22"/>
                <w:szCs w:val="22"/>
              </w:rPr>
              <w:t>270 дн. –364 дн.</w:t>
            </w:r>
          </w:p>
        </w:tc>
      </w:tr>
      <w:tr w:rsidR="00535020" w:rsidRPr="00FE4812" w:rsidTr="003E34B3">
        <w:trPr>
          <w:trHeight w:val="597"/>
        </w:trPr>
        <w:tc>
          <w:tcPr>
            <w:tcW w:w="2127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/>
              <w:jc w:val="center"/>
              <w:textAlignment w:val="bottom"/>
              <w:rPr>
                <w:sz w:val="22"/>
                <w:szCs w:val="22"/>
              </w:rPr>
            </w:pPr>
            <w:r w:rsidRPr="00FE4812">
              <w:rPr>
                <w:kern w:val="24"/>
                <w:sz w:val="22"/>
                <w:szCs w:val="22"/>
              </w:rPr>
              <w:t>Комиссионное вознаграждение за предоставление ИТС</w:t>
            </w:r>
          </w:p>
        </w:tc>
        <w:tc>
          <w:tcPr>
            <w:tcW w:w="1134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075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5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150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300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450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276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</w:t>
            </w:r>
            <w:r w:rsidRPr="00FE4812">
              <w:rPr>
                <w:color w:val="000000"/>
                <w:kern w:val="24"/>
                <w:sz w:val="22"/>
                <w:szCs w:val="22"/>
                <w:lang w:val="en-US"/>
              </w:rPr>
              <w:t>0750</w:t>
            </w:r>
            <w:r w:rsidRPr="00FE4812">
              <w:rPr>
                <w:color w:val="000000"/>
                <w:kern w:val="24"/>
                <w:sz w:val="22"/>
                <w:szCs w:val="22"/>
              </w:rPr>
              <w:t>0%</w:t>
            </w:r>
          </w:p>
        </w:tc>
        <w:tc>
          <w:tcPr>
            <w:tcW w:w="1134" w:type="dxa"/>
            <w:vAlign w:val="center"/>
          </w:tcPr>
          <w:p w:rsidR="00535020" w:rsidRPr="00FE4812" w:rsidRDefault="00535020" w:rsidP="00FA354B">
            <w:pPr>
              <w:pStyle w:val="aff"/>
              <w:spacing w:before="120" w:beforeAutospacing="0" w:after="120" w:afterAutospacing="0" w:line="276" w:lineRule="auto"/>
              <w:jc w:val="center"/>
              <w:rPr>
                <w:sz w:val="22"/>
                <w:szCs w:val="22"/>
              </w:rPr>
            </w:pPr>
            <w:r w:rsidRPr="00FE4812">
              <w:rPr>
                <w:color w:val="000000"/>
                <w:kern w:val="24"/>
                <w:sz w:val="22"/>
                <w:szCs w:val="22"/>
              </w:rPr>
              <w:t>0,011250%</w:t>
            </w:r>
          </w:p>
        </w:tc>
      </w:tr>
    </w:tbl>
    <w:p w:rsidR="00845131" w:rsidRPr="00FE4812" w:rsidRDefault="00845131" w:rsidP="00845131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imes New Roman" w:hAnsi="Times New Roman" w:cs="Times New Roman"/>
          <w:bCs/>
        </w:rPr>
      </w:pP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При заключении Участником торгов – пользователем ПТК ТЦ сделок с драгоценными металлами на организованных торгах устанавливается минимальная ставка оборотной части вознаграждения ПАО Московская Биржа за предоставление ИТС в размере 0,15 российских рублей за одну сделку.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Фиксированная часть вознаграждения за предоставление ИТС при заключении Участником торгов сделок с драгоценными металлами, за исключением Участников торгов, являющихся центральными (национальными) банками 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союза, составляет 5 000 российских рублей в месяц, которая рассчитывается ежемесячно</w:t>
      </w:r>
      <w:r w:rsidR="007F3C2E" w:rsidRPr="00FE4812">
        <w:rPr>
          <w:rFonts w:ascii="Times New Roman" w:hAnsi="Times New Roman" w:cs="Times New Roman"/>
        </w:rPr>
        <w:t xml:space="preserve"> взимается, по регистрационному коду</w:t>
      </w:r>
      <w:r w:rsidRPr="00FE4812">
        <w:rPr>
          <w:rFonts w:ascii="Times New Roman" w:hAnsi="Times New Roman" w:cs="Times New Roman"/>
          <w:bCs/>
        </w:rPr>
        <w:t xml:space="preserve"> и уплачивается Участником торгов при одновременном соблюдении следующих условий:</w:t>
      </w:r>
    </w:p>
    <w:p w:rsidR="00535020" w:rsidRPr="00FE4812" w:rsidRDefault="00535020" w:rsidP="00535020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- в течение месяца Участником торгов было подано не менее одной заявки на заключение сделки с драгоценными металлами посредством системы передачи информации Рейтер/Блумберг;</w:t>
      </w:r>
    </w:p>
    <w:p w:rsidR="00535020" w:rsidRPr="00FE4812" w:rsidRDefault="00535020" w:rsidP="00535020">
      <w:pPr>
        <w:tabs>
          <w:tab w:val="left" w:pos="-1985"/>
          <w:tab w:val="left" w:pos="993"/>
        </w:tabs>
        <w:spacing w:before="120" w:after="120"/>
        <w:ind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- фиксированная часть вознаграждения за предоставление ИТС при заключении Участником торгов сделок с иностранной валютой на организованных торгах, рассчитанная за данный месяц, равна нулю.</w:t>
      </w:r>
    </w:p>
    <w:p w:rsidR="00535020" w:rsidRPr="00FE4812" w:rsidRDefault="00535020" w:rsidP="00535020">
      <w:pPr>
        <w:numPr>
          <w:ilvl w:val="1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Вознаграждение за предоставление ИТС при совершении Участником торгов сделок с драгоценными металлами уплачивается Участником торгов в соответствии с Правилами торгов в российских рублях в следующем порядке:</w:t>
      </w:r>
    </w:p>
    <w:p w:rsidR="00535020" w:rsidRPr="00FE4812" w:rsidRDefault="00535020" w:rsidP="00535020">
      <w:pPr>
        <w:numPr>
          <w:ilvl w:val="2"/>
          <w:numId w:val="29"/>
        </w:numPr>
        <w:tabs>
          <w:tab w:val="left" w:pos="-1985"/>
          <w:tab w:val="left" w:pos="993"/>
        </w:tabs>
        <w:spacing w:before="120" w:after="120" w:line="24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оборотная часть вознаграждения за предоставление ИТС, в размере, установленном в подпунктах 2.1, 2.2 и 2.3 пункта 2 настоящих Тарифов, и вознаграждение за предоставление ИТС, взимаемое из расчета минимальной ставки оборотной части вознаграждения за предоставление ИТС, установленной в подпункте 2.4 пункта 2 настоящих Тарифов, в день заключения сделки удерживается Банком НКЦ (АО) с расчетного кода соответствующего Участника клиринга и перечисляется ПАО Московская Биржа;</w:t>
      </w:r>
    </w:p>
    <w:p w:rsidR="00535020" w:rsidRPr="00FE4812" w:rsidRDefault="00535020" w:rsidP="00535020">
      <w:pPr>
        <w:numPr>
          <w:ilvl w:val="2"/>
          <w:numId w:val="29"/>
        </w:numPr>
        <w:tabs>
          <w:tab w:val="left" w:pos="-1985"/>
          <w:tab w:val="left" w:pos="993"/>
        </w:tabs>
        <w:spacing w:after="120" w:line="24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фиксированная часть вознаграждения за предоставление ИТС, установленная в соответствии с подпунктом 2.5 пункта 2 настоящих Тарифов, удерживается Банком НКЦ (АО) с расчетного кода соответствующего Участника клиринга в первый рабочий день календарного месяца, следующего за месяцем фактического оказания услуг по предоставлению ИТС, и перечисляется ПАО Московская Биржа.</w:t>
      </w:r>
    </w:p>
    <w:p w:rsidR="00535020" w:rsidRPr="00FE4812" w:rsidRDefault="00535020" w:rsidP="00535020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Банк НКЦ (АО) в соответствии с Правилами клиринга удерживает все виды комиссионного вознаграждения, подлежащие уплате Участником торгов и перечисленные в пунктах 1 и 2 настоящих Тарифов, с расчетного кода Участника клиринга, указываемого Участником торгов в заявках на заключение сделок с драгоценными металлами.</w:t>
      </w:r>
    </w:p>
    <w:p w:rsidR="00535020" w:rsidRPr="00FE4812" w:rsidRDefault="00535020" w:rsidP="00535020">
      <w:pPr>
        <w:tabs>
          <w:tab w:val="left" w:pos="993"/>
        </w:tabs>
        <w:spacing w:after="120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lastRenderedPageBreak/>
        <w:t>При этом фиксированная часть вознаграждения за предоставление ИТС, установленная подпунктом 2.5 пункта 2 настоящих Тарифов, в случае удержания ее с расчетного кода Участника клиринга, являющегося клиринговым брокером, удерживается Банком НКЦ (АО) с расчетного кода Участника клиринга, являющегося клиринговым брокером, указавшего в соответствующем заявлении, что фиксированная часть вознаграждения за предоставление ИТС за такого Участника торгов должна удерживаться с указанного расчетного кода.</w:t>
      </w:r>
    </w:p>
    <w:p w:rsidR="00535020" w:rsidRPr="00FE4812" w:rsidRDefault="00535020" w:rsidP="00535020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Действие подпункта 2.6.2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некредитные организации в случае введения в отношении Участника торгов – некредитной организации одной из процедур банкротства в месяц, за который взимается вознаграждение, предусмотренное подпунктом 2.5 пункта 2 настоящих Тарифов.</w:t>
      </w:r>
    </w:p>
    <w:p w:rsidR="00F727B9" w:rsidRPr="00FE4812" w:rsidRDefault="00F727B9" w:rsidP="00F727B9">
      <w:pPr>
        <w:numPr>
          <w:ilvl w:val="0"/>
          <w:numId w:val="29"/>
        </w:numPr>
        <w:tabs>
          <w:tab w:val="left" w:pos="993"/>
        </w:tabs>
        <w:spacing w:after="120" w:line="240" w:lineRule="auto"/>
        <w:ind w:left="0" w:firstLine="284"/>
        <w:jc w:val="both"/>
        <w:rPr>
          <w:rFonts w:ascii="Times New Roman" w:hAnsi="Times New Roman" w:cs="Times New Roman"/>
          <w:bCs/>
        </w:rPr>
      </w:pPr>
      <w:r w:rsidRPr="00FE4812">
        <w:rPr>
          <w:rFonts w:ascii="Times New Roman" w:hAnsi="Times New Roman" w:cs="Times New Roman"/>
          <w:bCs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3777F0" w:rsidRPr="00FE4812" w:rsidRDefault="003777F0" w:rsidP="009849B3">
      <w:pPr>
        <w:pStyle w:val="Default"/>
      </w:pPr>
    </w:p>
    <w:sectPr w:rsidR="003777F0" w:rsidRPr="00FE4812" w:rsidSect="00CB0FF7">
      <w:footerReference w:type="default" r:id="rId8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20" w:rsidRDefault="00374420" w:rsidP="00630839">
      <w:pPr>
        <w:spacing w:after="0" w:line="240" w:lineRule="auto"/>
      </w:pPr>
      <w:r>
        <w:separator/>
      </w:r>
    </w:p>
  </w:endnote>
  <w:endnote w:type="continuationSeparator" w:id="0">
    <w:p w:rsidR="00374420" w:rsidRDefault="00374420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757032"/>
      <w:docPartObj>
        <w:docPartGallery w:val="Page Numbers (Bottom of Page)"/>
        <w:docPartUnique/>
      </w:docPartObj>
    </w:sdtPr>
    <w:sdtContent>
      <w:p w:rsidR="00374420" w:rsidRDefault="000763A4" w:rsidP="00FE4812">
        <w:pPr>
          <w:pStyle w:val="af1"/>
          <w:jc w:val="right"/>
        </w:pPr>
        <w:fldSimple w:instr=" PAGE   \* MERGEFORMAT ">
          <w:r w:rsidR="009849B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20" w:rsidRDefault="00374420" w:rsidP="00630839">
      <w:pPr>
        <w:spacing w:after="0" w:line="240" w:lineRule="auto"/>
      </w:pPr>
      <w:r>
        <w:separator/>
      </w:r>
    </w:p>
  </w:footnote>
  <w:footnote w:type="continuationSeparator" w:id="0">
    <w:p w:rsidR="00374420" w:rsidRDefault="00374420" w:rsidP="00630839">
      <w:pPr>
        <w:spacing w:after="0" w:line="240" w:lineRule="auto"/>
      </w:pPr>
      <w:r>
        <w:continuationSeparator/>
      </w:r>
    </w:p>
  </w:footnote>
  <w:footnote w:id="1">
    <w:p w:rsidR="00374420" w:rsidRPr="00E87174" w:rsidRDefault="00374420" w:rsidP="00535020">
      <w:pPr>
        <w:pStyle w:val="aa"/>
      </w:pPr>
      <w:r w:rsidRPr="00E87174">
        <w:rPr>
          <w:rStyle w:val="ac"/>
        </w:rPr>
        <w:footnoteRef/>
      </w:r>
      <w:r w:rsidRPr="00E87174">
        <w:t xml:space="preserve"> Здесь и далее в подпункте 1.3 пункта 1 настоящих Тарифов под «днями» понимаются календарные дни.</w:t>
      </w:r>
    </w:p>
  </w:footnote>
  <w:footnote w:id="2">
    <w:p w:rsidR="00374420" w:rsidRPr="00E87174" w:rsidRDefault="00374420" w:rsidP="00535020">
      <w:pPr>
        <w:pStyle w:val="aa"/>
      </w:pPr>
      <w:r w:rsidRPr="00E87174">
        <w:rPr>
          <w:rStyle w:val="ac"/>
        </w:rPr>
        <w:footnoteRef/>
      </w:r>
      <w:r w:rsidRPr="00E87174">
        <w:t xml:space="preserve"> Здесь и далее в подпункте 2.3 пункта 1 настоящих Тарифов под «днями» понимаются календарные дни.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3"/>
  </w:num>
  <w:num w:numId="5">
    <w:abstractNumId w:val="8"/>
  </w:num>
  <w:num w:numId="6">
    <w:abstractNumId w:val="19"/>
  </w:num>
  <w:num w:numId="7">
    <w:abstractNumId w:val="15"/>
  </w:num>
  <w:num w:numId="8">
    <w:abstractNumId w:val="24"/>
  </w:num>
  <w:num w:numId="9">
    <w:abstractNumId w:val="5"/>
  </w:num>
  <w:num w:numId="10">
    <w:abstractNumId w:val="29"/>
  </w:num>
  <w:num w:numId="11">
    <w:abstractNumId w:val="10"/>
  </w:num>
  <w:num w:numId="12">
    <w:abstractNumId w:val="0"/>
  </w:num>
  <w:num w:numId="13">
    <w:abstractNumId w:val="14"/>
  </w:num>
  <w:num w:numId="14">
    <w:abstractNumId w:val="6"/>
  </w:num>
  <w:num w:numId="15">
    <w:abstractNumId w:val="31"/>
  </w:num>
  <w:num w:numId="16">
    <w:abstractNumId w:val="20"/>
  </w:num>
  <w:num w:numId="17">
    <w:abstractNumId w:val="26"/>
  </w:num>
  <w:num w:numId="18">
    <w:abstractNumId w:val="18"/>
  </w:num>
  <w:num w:numId="19">
    <w:abstractNumId w:val="16"/>
  </w:num>
  <w:num w:numId="20">
    <w:abstractNumId w:val="25"/>
  </w:num>
  <w:num w:numId="21">
    <w:abstractNumId w:val="4"/>
  </w:num>
  <w:num w:numId="22">
    <w:abstractNumId w:val="22"/>
  </w:num>
  <w:num w:numId="23">
    <w:abstractNumId w:val="7"/>
  </w:num>
  <w:num w:numId="24">
    <w:abstractNumId w:val="9"/>
  </w:num>
  <w:num w:numId="25">
    <w:abstractNumId w:val="30"/>
  </w:num>
  <w:num w:numId="26">
    <w:abstractNumId w:val="2"/>
  </w:num>
  <w:num w:numId="27">
    <w:abstractNumId w:val="1"/>
  </w:num>
  <w:num w:numId="28">
    <w:abstractNumId w:val="12"/>
  </w:num>
  <w:num w:numId="29">
    <w:abstractNumId w:val="17"/>
  </w:num>
  <w:num w:numId="30">
    <w:abstractNumId w:val="11"/>
  </w:num>
  <w:num w:numId="31">
    <w:abstractNumId w:val="21"/>
  </w:num>
  <w:num w:numId="32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сропова Дарья Викторовна">
    <w15:presenceInfo w15:providerId="AD" w15:userId="S-1-5-21-2110615740-823941886-1632782223-15401"/>
  </w15:person>
  <w15:person w15:author="Кадырова Ирина Тимуровна">
    <w15:presenceInfo w15:providerId="AD" w15:userId="S-1-5-21-2110615740-823941886-1632782223-148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3A44"/>
    <w:rsid w:val="000010FE"/>
    <w:rsid w:val="00006086"/>
    <w:rsid w:val="00007599"/>
    <w:rsid w:val="000118FE"/>
    <w:rsid w:val="00013D76"/>
    <w:rsid w:val="00022020"/>
    <w:rsid w:val="00024470"/>
    <w:rsid w:val="000244AC"/>
    <w:rsid w:val="00024F42"/>
    <w:rsid w:val="000257E7"/>
    <w:rsid w:val="00043B26"/>
    <w:rsid w:val="00043EF7"/>
    <w:rsid w:val="000465FB"/>
    <w:rsid w:val="00047FEC"/>
    <w:rsid w:val="000523B6"/>
    <w:rsid w:val="00054E85"/>
    <w:rsid w:val="000621E8"/>
    <w:rsid w:val="0006402B"/>
    <w:rsid w:val="0006605A"/>
    <w:rsid w:val="0007420C"/>
    <w:rsid w:val="00075841"/>
    <w:rsid w:val="000763A4"/>
    <w:rsid w:val="00076E43"/>
    <w:rsid w:val="00081D69"/>
    <w:rsid w:val="00087FFB"/>
    <w:rsid w:val="00091586"/>
    <w:rsid w:val="00093436"/>
    <w:rsid w:val="00094ABB"/>
    <w:rsid w:val="000A2E9F"/>
    <w:rsid w:val="000A4D56"/>
    <w:rsid w:val="000B0E66"/>
    <w:rsid w:val="000B1165"/>
    <w:rsid w:val="000B328A"/>
    <w:rsid w:val="000B4473"/>
    <w:rsid w:val="000B5373"/>
    <w:rsid w:val="000C0DBD"/>
    <w:rsid w:val="000C1E43"/>
    <w:rsid w:val="000C2669"/>
    <w:rsid w:val="000C2B99"/>
    <w:rsid w:val="000C7B91"/>
    <w:rsid w:val="000D0C4B"/>
    <w:rsid w:val="000D6CFA"/>
    <w:rsid w:val="000E0A55"/>
    <w:rsid w:val="000E18DF"/>
    <w:rsid w:val="000F120D"/>
    <w:rsid w:val="000F7D26"/>
    <w:rsid w:val="00114728"/>
    <w:rsid w:val="00116B9A"/>
    <w:rsid w:val="00124032"/>
    <w:rsid w:val="00127378"/>
    <w:rsid w:val="00130437"/>
    <w:rsid w:val="001412BB"/>
    <w:rsid w:val="00141313"/>
    <w:rsid w:val="00141D9A"/>
    <w:rsid w:val="00152015"/>
    <w:rsid w:val="00155CE2"/>
    <w:rsid w:val="00157EE3"/>
    <w:rsid w:val="00162AD6"/>
    <w:rsid w:val="0016318B"/>
    <w:rsid w:val="001643CD"/>
    <w:rsid w:val="0016761A"/>
    <w:rsid w:val="001738CD"/>
    <w:rsid w:val="00183ECC"/>
    <w:rsid w:val="0019075C"/>
    <w:rsid w:val="0019335A"/>
    <w:rsid w:val="001948E9"/>
    <w:rsid w:val="001B2BCB"/>
    <w:rsid w:val="001B4E6C"/>
    <w:rsid w:val="001C78D4"/>
    <w:rsid w:val="001D1BDB"/>
    <w:rsid w:val="001D398B"/>
    <w:rsid w:val="001D7ADB"/>
    <w:rsid w:val="001E3C6D"/>
    <w:rsid w:val="001E4FE4"/>
    <w:rsid w:val="001E64F1"/>
    <w:rsid w:val="001E6E81"/>
    <w:rsid w:val="001F036F"/>
    <w:rsid w:val="0020161E"/>
    <w:rsid w:val="00202B6C"/>
    <w:rsid w:val="00203A5E"/>
    <w:rsid w:val="0020592B"/>
    <w:rsid w:val="00215FA5"/>
    <w:rsid w:val="002205F8"/>
    <w:rsid w:val="00221A79"/>
    <w:rsid w:val="00222643"/>
    <w:rsid w:val="0022437A"/>
    <w:rsid w:val="0022508B"/>
    <w:rsid w:val="002348EC"/>
    <w:rsid w:val="002423C2"/>
    <w:rsid w:val="00246E4B"/>
    <w:rsid w:val="00250B10"/>
    <w:rsid w:val="00256267"/>
    <w:rsid w:val="00262E48"/>
    <w:rsid w:val="00263563"/>
    <w:rsid w:val="0028060D"/>
    <w:rsid w:val="00286D73"/>
    <w:rsid w:val="00287376"/>
    <w:rsid w:val="00287DD4"/>
    <w:rsid w:val="002976E6"/>
    <w:rsid w:val="002A1429"/>
    <w:rsid w:val="002A41EB"/>
    <w:rsid w:val="002A572B"/>
    <w:rsid w:val="002B1BF8"/>
    <w:rsid w:val="002B2487"/>
    <w:rsid w:val="002B28B7"/>
    <w:rsid w:val="002C62A7"/>
    <w:rsid w:val="002C7FD9"/>
    <w:rsid w:val="002D796B"/>
    <w:rsid w:val="002F1A8C"/>
    <w:rsid w:val="002F3165"/>
    <w:rsid w:val="00304B11"/>
    <w:rsid w:val="00311F49"/>
    <w:rsid w:val="003208B6"/>
    <w:rsid w:val="0032203C"/>
    <w:rsid w:val="00337A0F"/>
    <w:rsid w:val="00350C4F"/>
    <w:rsid w:val="00352E25"/>
    <w:rsid w:val="00355F4C"/>
    <w:rsid w:val="003560D3"/>
    <w:rsid w:val="003568DC"/>
    <w:rsid w:val="0036730A"/>
    <w:rsid w:val="00371FD4"/>
    <w:rsid w:val="00373543"/>
    <w:rsid w:val="00373F4C"/>
    <w:rsid w:val="00374420"/>
    <w:rsid w:val="003777F0"/>
    <w:rsid w:val="0038574B"/>
    <w:rsid w:val="0038575B"/>
    <w:rsid w:val="003947DE"/>
    <w:rsid w:val="003A53D1"/>
    <w:rsid w:val="003A5E9D"/>
    <w:rsid w:val="003A70DC"/>
    <w:rsid w:val="003B49EE"/>
    <w:rsid w:val="003B7012"/>
    <w:rsid w:val="003C0019"/>
    <w:rsid w:val="003C0E13"/>
    <w:rsid w:val="003C4E83"/>
    <w:rsid w:val="003E03D4"/>
    <w:rsid w:val="003E04F9"/>
    <w:rsid w:val="003E0A84"/>
    <w:rsid w:val="003E1219"/>
    <w:rsid w:val="003E3281"/>
    <w:rsid w:val="003E34B3"/>
    <w:rsid w:val="003F4D4F"/>
    <w:rsid w:val="003F5FAD"/>
    <w:rsid w:val="003F7476"/>
    <w:rsid w:val="0040097E"/>
    <w:rsid w:val="0040488A"/>
    <w:rsid w:val="00412D00"/>
    <w:rsid w:val="004226DD"/>
    <w:rsid w:val="004247A0"/>
    <w:rsid w:val="00440BF4"/>
    <w:rsid w:val="004418C3"/>
    <w:rsid w:val="00441D9A"/>
    <w:rsid w:val="004449F5"/>
    <w:rsid w:val="00444C88"/>
    <w:rsid w:val="00444DE2"/>
    <w:rsid w:val="0045028A"/>
    <w:rsid w:val="0045076A"/>
    <w:rsid w:val="00453810"/>
    <w:rsid w:val="0046118E"/>
    <w:rsid w:val="004719A9"/>
    <w:rsid w:val="00477400"/>
    <w:rsid w:val="00484CFB"/>
    <w:rsid w:val="0048596C"/>
    <w:rsid w:val="00491D8F"/>
    <w:rsid w:val="00496FA6"/>
    <w:rsid w:val="004976A3"/>
    <w:rsid w:val="00497CF4"/>
    <w:rsid w:val="004A0AD8"/>
    <w:rsid w:val="004A0C88"/>
    <w:rsid w:val="004A3DE7"/>
    <w:rsid w:val="004A5084"/>
    <w:rsid w:val="004A75D1"/>
    <w:rsid w:val="004B7613"/>
    <w:rsid w:val="004D37BC"/>
    <w:rsid w:val="004E45E3"/>
    <w:rsid w:val="004E5044"/>
    <w:rsid w:val="004F1C01"/>
    <w:rsid w:val="0050328F"/>
    <w:rsid w:val="00505EB7"/>
    <w:rsid w:val="005124C2"/>
    <w:rsid w:val="005124C5"/>
    <w:rsid w:val="00512AA2"/>
    <w:rsid w:val="00526ADF"/>
    <w:rsid w:val="00527DEB"/>
    <w:rsid w:val="00535020"/>
    <w:rsid w:val="00545C9A"/>
    <w:rsid w:val="00546223"/>
    <w:rsid w:val="00556D57"/>
    <w:rsid w:val="00564478"/>
    <w:rsid w:val="00573F1F"/>
    <w:rsid w:val="00574EB8"/>
    <w:rsid w:val="00576E8A"/>
    <w:rsid w:val="0057738A"/>
    <w:rsid w:val="005777A4"/>
    <w:rsid w:val="005900DB"/>
    <w:rsid w:val="005949B2"/>
    <w:rsid w:val="005A443C"/>
    <w:rsid w:val="005B2165"/>
    <w:rsid w:val="005B6044"/>
    <w:rsid w:val="005C42C5"/>
    <w:rsid w:val="005D2274"/>
    <w:rsid w:val="005D6946"/>
    <w:rsid w:val="005D7DA5"/>
    <w:rsid w:val="005E695F"/>
    <w:rsid w:val="005F194F"/>
    <w:rsid w:val="005F326E"/>
    <w:rsid w:val="005F73AC"/>
    <w:rsid w:val="0060485C"/>
    <w:rsid w:val="00604F25"/>
    <w:rsid w:val="00607A4D"/>
    <w:rsid w:val="00616455"/>
    <w:rsid w:val="00622469"/>
    <w:rsid w:val="00622A80"/>
    <w:rsid w:val="00627A21"/>
    <w:rsid w:val="00630839"/>
    <w:rsid w:val="00634C9A"/>
    <w:rsid w:val="0065169E"/>
    <w:rsid w:val="00656670"/>
    <w:rsid w:val="00656EF5"/>
    <w:rsid w:val="00660B8C"/>
    <w:rsid w:val="006659D9"/>
    <w:rsid w:val="00665B12"/>
    <w:rsid w:val="006675BC"/>
    <w:rsid w:val="00671513"/>
    <w:rsid w:val="00681E1E"/>
    <w:rsid w:val="0068432B"/>
    <w:rsid w:val="00690791"/>
    <w:rsid w:val="006A16F0"/>
    <w:rsid w:val="006A1FD3"/>
    <w:rsid w:val="006A3245"/>
    <w:rsid w:val="006A4738"/>
    <w:rsid w:val="006A7629"/>
    <w:rsid w:val="006B5A92"/>
    <w:rsid w:val="006C24E4"/>
    <w:rsid w:val="006D0F35"/>
    <w:rsid w:val="006D3F35"/>
    <w:rsid w:val="006D6414"/>
    <w:rsid w:val="006D7DEF"/>
    <w:rsid w:val="006E104E"/>
    <w:rsid w:val="006E1A45"/>
    <w:rsid w:val="006F1348"/>
    <w:rsid w:val="006F5CCF"/>
    <w:rsid w:val="006F74AF"/>
    <w:rsid w:val="00702BAF"/>
    <w:rsid w:val="0070534A"/>
    <w:rsid w:val="007078DA"/>
    <w:rsid w:val="0071051A"/>
    <w:rsid w:val="007128C6"/>
    <w:rsid w:val="00724BE8"/>
    <w:rsid w:val="00743C83"/>
    <w:rsid w:val="007444B9"/>
    <w:rsid w:val="00750E12"/>
    <w:rsid w:val="007536AC"/>
    <w:rsid w:val="00762625"/>
    <w:rsid w:val="00763444"/>
    <w:rsid w:val="007714E4"/>
    <w:rsid w:val="00773937"/>
    <w:rsid w:val="00773AF4"/>
    <w:rsid w:val="00777748"/>
    <w:rsid w:val="00785FBD"/>
    <w:rsid w:val="00795A9D"/>
    <w:rsid w:val="00796687"/>
    <w:rsid w:val="007A57EC"/>
    <w:rsid w:val="007B254B"/>
    <w:rsid w:val="007B38B6"/>
    <w:rsid w:val="007B5374"/>
    <w:rsid w:val="007C06AC"/>
    <w:rsid w:val="007C1584"/>
    <w:rsid w:val="007C6FE4"/>
    <w:rsid w:val="007D3245"/>
    <w:rsid w:val="007D6578"/>
    <w:rsid w:val="007D7C74"/>
    <w:rsid w:val="007E0B25"/>
    <w:rsid w:val="007E1128"/>
    <w:rsid w:val="007E5F25"/>
    <w:rsid w:val="007F0442"/>
    <w:rsid w:val="007F1A84"/>
    <w:rsid w:val="007F3C2E"/>
    <w:rsid w:val="007F5BFE"/>
    <w:rsid w:val="0080139F"/>
    <w:rsid w:val="008203E9"/>
    <w:rsid w:val="00821CC9"/>
    <w:rsid w:val="0082372E"/>
    <w:rsid w:val="008240D9"/>
    <w:rsid w:val="00826F5A"/>
    <w:rsid w:val="00830702"/>
    <w:rsid w:val="00830DE0"/>
    <w:rsid w:val="00833863"/>
    <w:rsid w:val="00833F48"/>
    <w:rsid w:val="00834951"/>
    <w:rsid w:val="00834B3C"/>
    <w:rsid w:val="0083686E"/>
    <w:rsid w:val="00837D03"/>
    <w:rsid w:val="008450C8"/>
    <w:rsid w:val="00845131"/>
    <w:rsid w:val="0084542E"/>
    <w:rsid w:val="00852D7B"/>
    <w:rsid w:val="00853855"/>
    <w:rsid w:val="00853DB1"/>
    <w:rsid w:val="0086229F"/>
    <w:rsid w:val="00862D39"/>
    <w:rsid w:val="00884303"/>
    <w:rsid w:val="0089033F"/>
    <w:rsid w:val="00897C19"/>
    <w:rsid w:val="008A30E3"/>
    <w:rsid w:val="008A4C09"/>
    <w:rsid w:val="008A543A"/>
    <w:rsid w:val="008B1F5C"/>
    <w:rsid w:val="008B50EB"/>
    <w:rsid w:val="008B6FB4"/>
    <w:rsid w:val="008C2017"/>
    <w:rsid w:val="008C3A44"/>
    <w:rsid w:val="008C51AC"/>
    <w:rsid w:val="008D1DD8"/>
    <w:rsid w:val="008D37E9"/>
    <w:rsid w:val="008D5A76"/>
    <w:rsid w:val="008E0051"/>
    <w:rsid w:val="008E2CB5"/>
    <w:rsid w:val="008F3681"/>
    <w:rsid w:val="009004DB"/>
    <w:rsid w:val="009027BF"/>
    <w:rsid w:val="00911EFE"/>
    <w:rsid w:val="0091666B"/>
    <w:rsid w:val="00922675"/>
    <w:rsid w:val="00925515"/>
    <w:rsid w:val="00934A68"/>
    <w:rsid w:val="00947089"/>
    <w:rsid w:val="00952BFC"/>
    <w:rsid w:val="0095795A"/>
    <w:rsid w:val="009849B3"/>
    <w:rsid w:val="0098602B"/>
    <w:rsid w:val="0098741C"/>
    <w:rsid w:val="009876DB"/>
    <w:rsid w:val="00990210"/>
    <w:rsid w:val="009A7DEF"/>
    <w:rsid w:val="009B0396"/>
    <w:rsid w:val="009B42AD"/>
    <w:rsid w:val="009C3233"/>
    <w:rsid w:val="009C3EE5"/>
    <w:rsid w:val="009C63FB"/>
    <w:rsid w:val="009D0636"/>
    <w:rsid w:val="009D4905"/>
    <w:rsid w:val="009E2456"/>
    <w:rsid w:val="009F59BE"/>
    <w:rsid w:val="00A0561D"/>
    <w:rsid w:val="00A062C8"/>
    <w:rsid w:val="00A12B0C"/>
    <w:rsid w:val="00A3061C"/>
    <w:rsid w:val="00A3064C"/>
    <w:rsid w:val="00A355FA"/>
    <w:rsid w:val="00A363B9"/>
    <w:rsid w:val="00A47847"/>
    <w:rsid w:val="00A51DE2"/>
    <w:rsid w:val="00A542C2"/>
    <w:rsid w:val="00A60C86"/>
    <w:rsid w:val="00A61752"/>
    <w:rsid w:val="00A629F0"/>
    <w:rsid w:val="00A62FBB"/>
    <w:rsid w:val="00A6316D"/>
    <w:rsid w:val="00A64447"/>
    <w:rsid w:val="00A65EDC"/>
    <w:rsid w:val="00A71FB8"/>
    <w:rsid w:val="00A735FE"/>
    <w:rsid w:val="00A73948"/>
    <w:rsid w:val="00A74F88"/>
    <w:rsid w:val="00A7715E"/>
    <w:rsid w:val="00A81209"/>
    <w:rsid w:val="00A84A1E"/>
    <w:rsid w:val="00A86086"/>
    <w:rsid w:val="00A92E85"/>
    <w:rsid w:val="00A96BB6"/>
    <w:rsid w:val="00A9757B"/>
    <w:rsid w:val="00AA1874"/>
    <w:rsid w:val="00AA7475"/>
    <w:rsid w:val="00AB0D08"/>
    <w:rsid w:val="00AB6C6C"/>
    <w:rsid w:val="00AB7C4A"/>
    <w:rsid w:val="00AD4F19"/>
    <w:rsid w:val="00AE13FE"/>
    <w:rsid w:val="00AE40B7"/>
    <w:rsid w:val="00AE4762"/>
    <w:rsid w:val="00AF290F"/>
    <w:rsid w:val="00AF2EC7"/>
    <w:rsid w:val="00AF36FD"/>
    <w:rsid w:val="00AF714E"/>
    <w:rsid w:val="00B106F0"/>
    <w:rsid w:val="00B145E0"/>
    <w:rsid w:val="00B15553"/>
    <w:rsid w:val="00B24791"/>
    <w:rsid w:val="00B339B4"/>
    <w:rsid w:val="00B35BED"/>
    <w:rsid w:val="00B37AAD"/>
    <w:rsid w:val="00B645D4"/>
    <w:rsid w:val="00B70DA9"/>
    <w:rsid w:val="00B71A5C"/>
    <w:rsid w:val="00B73596"/>
    <w:rsid w:val="00B759FF"/>
    <w:rsid w:val="00B75EDC"/>
    <w:rsid w:val="00B77779"/>
    <w:rsid w:val="00BA633B"/>
    <w:rsid w:val="00BB3F8B"/>
    <w:rsid w:val="00BB42CB"/>
    <w:rsid w:val="00BB5A66"/>
    <w:rsid w:val="00BB5AF5"/>
    <w:rsid w:val="00BB6EE2"/>
    <w:rsid w:val="00BC2E9A"/>
    <w:rsid w:val="00BC6007"/>
    <w:rsid w:val="00BD5C30"/>
    <w:rsid w:val="00BD637A"/>
    <w:rsid w:val="00BE02F2"/>
    <w:rsid w:val="00BE55A8"/>
    <w:rsid w:val="00BE65EC"/>
    <w:rsid w:val="00BE798D"/>
    <w:rsid w:val="00BF0783"/>
    <w:rsid w:val="00BF2D90"/>
    <w:rsid w:val="00BF7739"/>
    <w:rsid w:val="00C15008"/>
    <w:rsid w:val="00C17D2E"/>
    <w:rsid w:val="00C21087"/>
    <w:rsid w:val="00C32A6C"/>
    <w:rsid w:val="00C36175"/>
    <w:rsid w:val="00C52218"/>
    <w:rsid w:val="00C575C2"/>
    <w:rsid w:val="00C57E1C"/>
    <w:rsid w:val="00C63472"/>
    <w:rsid w:val="00C7682B"/>
    <w:rsid w:val="00C7688A"/>
    <w:rsid w:val="00C97255"/>
    <w:rsid w:val="00CA10A0"/>
    <w:rsid w:val="00CA3F4D"/>
    <w:rsid w:val="00CA41AE"/>
    <w:rsid w:val="00CB0FF7"/>
    <w:rsid w:val="00CB3A3D"/>
    <w:rsid w:val="00CB3DC5"/>
    <w:rsid w:val="00CB7674"/>
    <w:rsid w:val="00CC1A58"/>
    <w:rsid w:val="00CC44F9"/>
    <w:rsid w:val="00CC4540"/>
    <w:rsid w:val="00CC5E6F"/>
    <w:rsid w:val="00CD2EE9"/>
    <w:rsid w:val="00CD6898"/>
    <w:rsid w:val="00CD7599"/>
    <w:rsid w:val="00CE1180"/>
    <w:rsid w:val="00CE2F16"/>
    <w:rsid w:val="00CF0236"/>
    <w:rsid w:val="00CF5505"/>
    <w:rsid w:val="00CF6FBE"/>
    <w:rsid w:val="00D06B4F"/>
    <w:rsid w:val="00D074E1"/>
    <w:rsid w:val="00D1357D"/>
    <w:rsid w:val="00D20A28"/>
    <w:rsid w:val="00D20D88"/>
    <w:rsid w:val="00D25AD2"/>
    <w:rsid w:val="00D352B2"/>
    <w:rsid w:val="00D355B3"/>
    <w:rsid w:val="00D45D02"/>
    <w:rsid w:val="00D4771F"/>
    <w:rsid w:val="00D47F5A"/>
    <w:rsid w:val="00D5280D"/>
    <w:rsid w:val="00D55399"/>
    <w:rsid w:val="00D5727C"/>
    <w:rsid w:val="00D575D8"/>
    <w:rsid w:val="00D60347"/>
    <w:rsid w:val="00D6556A"/>
    <w:rsid w:val="00D70EE1"/>
    <w:rsid w:val="00D75907"/>
    <w:rsid w:val="00D768EF"/>
    <w:rsid w:val="00D76FE7"/>
    <w:rsid w:val="00D82B6A"/>
    <w:rsid w:val="00D842A1"/>
    <w:rsid w:val="00D87731"/>
    <w:rsid w:val="00D90306"/>
    <w:rsid w:val="00D93B9E"/>
    <w:rsid w:val="00D94EE9"/>
    <w:rsid w:val="00DA0186"/>
    <w:rsid w:val="00DA4388"/>
    <w:rsid w:val="00DB127F"/>
    <w:rsid w:val="00DB580E"/>
    <w:rsid w:val="00DC4603"/>
    <w:rsid w:val="00DC5591"/>
    <w:rsid w:val="00DD2758"/>
    <w:rsid w:val="00DD5C23"/>
    <w:rsid w:val="00DE2F0C"/>
    <w:rsid w:val="00DE7EA9"/>
    <w:rsid w:val="00DF344D"/>
    <w:rsid w:val="00DF3849"/>
    <w:rsid w:val="00DF5FF4"/>
    <w:rsid w:val="00DF6404"/>
    <w:rsid w:val="00DF69E5"/>
    <w:rsid w:val="00E0170A"/>
    <w:rsid w:val="00E04CC9"/>
    <w:rsid w:val="00E05F6B"/>
    <w:rsid w:val="00E060CE"/>
    <w:rsid w:val="00E0784B"/>
    <w:rsid w:val="00E16CA6"/>
    <w:rsid w:val="00E170B7"/>
    <w:rsid w:val="00E227DC"/>
    <w:rsid w:val="00E46A8E"/>
    <w:rsid w:val="00E51245"/>
    <w:rsid w:val="00E522EE"/>
    <w:rsid w:val="00E53781"/>
    <w:rsid w:val="00E5620A"/>
    <w:rsid w:val="00E66C8E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528A"/>
    <w:rsid w:val="00EB01CC"/>
    <w:rsid w:val="00EB426E"/>
    <w:rsid w:val="00EC4011"/>
    <w:rsid w:val="00EC7133"/>
    <w:rsid w:val="00ED06AF"/>
    <w:rsid w:val="00ED2930"/>
    <w:rsid w:val="00ED36A7"/>
    <w:rsid w:val="00EE0C9E"/>
    <w:rsid w:val="00EE1B1A"/>
    <w:rsid w:val="00EE237F"/>
    <w:rsid w:val="00EF27D3"/>
    <w:rsid w:val="00EF2F95"/>
    <w:rsid w:val="00F01F68"/>
    <w:rsid w:val="00F10CF8"/>
    <w:rsid w:val="00F12D3D"/>
    <w:rsid w:val="00F14B9C"/>
    <w:rsid w:val="00F2190B"/>
    <w:rsid w:val="00F21C94"/>
    <w:rsid w:val="00F2367C"/>
    <w:rsid w:val="00F27966"/>
    <w:rsid w:val="00F3191F"/>
    <w:rsid w:val="00F34F02"/>
    <w:rsid w:val="00F352BE"/>
    <w:rsid w:val="00F36432"/>
    <w:rsid w:val="00F435A7"/>
    <w:rsid w:val="00F4431E"/>
    <w:rsid w:val="00F44D05"/>
    <w:rsid w:val="00F51BBB"/>
    <w:rsid w:val="00F53346"/>
    <w:rsid w:val="00F562B7"/>
    <w:rsid w:val="00F56D84"/>
    <w:rsid w:val="00F56E70"/>
    <w:rsid w:val="00F57033"/>
    <w:rsid w:val="00F57E50"/>
    <w:rsid w:val="00F60524"/>
    <w:rsid w:val="00F6788C"/>
    <w:rsid w:val="00F70D00"/>
    <w:rsid w:val="00F727B9"/>
    <w:rsid w:val="00F80943"/>
    <w:rsid w:val="00F90A6C"/>
    <w:rsid w:val="00F9464B"/>
    <w:rsid w:val="00F9540C"/>
    <w:rsid w:val="00FA04B8"/>
    <w:rsid w:val="00FA354B"/>
    <w:rsid w:val="00FA6FE7"/>
    <w:rsid w:val="00FB1854"/>
    <w:rsid w:val="00FB5313"/>
    <w:rsid w:val="00FC1C3F"/>
    <w:rsid w:val="00FC2D99"/>
    <w:rsid w:val="00FD27D1"/>
    <w:rsid w:val="00FE4812"/>
    <w:rsid w:val="00FE5DD0"/>
    <w:rsid w:val="00FF0CC4"/>
    <w:rsid w:val="00FF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E2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af3">
    <w:name w:val="Заголовок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page number"/>
    <w:rsid w:val="00E9350D"/>
    <w:rPr>
      <w:rFonts w:cs="Times New Roman"/>
    </w:rPr>
  </w:style>
  <w:style w:type="paragraph" w:styleId="af5">
    <w:name w:val="Title"/>
    <w:basedOn w:val="a"/>
    <w:link w:val="af6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8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Полужирный По правому краю"/>
    <w:basedOn w:val="af7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2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d">
    <w:name w:val="Body Text"/>
    <w:basedOn w:val="a"/>
    <w:link w:val="afe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0">
    <w:name w:val="Схема документа Знак"/>
    <w:basedOn w:val="a0"/>
    <w:link w:val="aff1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1">
    <w:name w:val="Document Map"/>
    <w:basedOn w:val="a"/>
    <w:link w:val="aff0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2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f3">
    <w:name w:val="Table Grid"/>
    <w:basedOn w:val="a1"/>
    <w:rsid w:val="0074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af3">
    <w:name w:val="Заголовок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4">
    <w:name w:val="page number"/>
    <w:rsid w:val="00E9350D"/>
    <w:rPr>
      <w:rFonts w:cs="Times New Roman"/>
    </w:rPr>
  </w:style>
  <w:style w:type="paragraph" w:styleId="af5">
    <w:name w:val="Title"/>
    <w:basedOn w:val="a"/>
    <w:link w:val="af6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7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8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9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">
    <w:name w:val="Полужирный По правому краю"/>
    <w:basedOn w:val="af7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2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d">
    <w:name w:val="Body Text"/>
    <w:basedOn w:val="a"/>
    <w:link w:val="afe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0">
    <w:name w:val="Схема документа Знак"/>
    <w:basedOn w:val="a0"/>
    <w:link w:val="aff1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1">
    <w:name w:val="Document Map"/>
    <w:basedOn w:val="a"/>
    <w:link w:val="aff0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2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A6B4B-01CC-468E-A11F-9F3A1DF2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frolov</cp:lastModifiedBy>
  <cp:revision>4</cp:revision>
  <cp:lastPrinted>2015-06-16T16:06:00Z</cp:lastPrinted>
  <dcterms:created xsi:type="dcterms:W3CDTF">2015-08-06T11:54:00Z</dcterms:created>
  <dcterms:modified xsi:type="dcterms:W3CDTF">2015-08-06T11:54:00Z</dcterms:modified>
</cp:coreProperties>
</file>