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DB" w:rsidRDefault="009876DB" w:rsidP="009876DB">
      <w:pPr>
        <w:pStyle w:val="Default"/>
      </w:pPr>
    </w:p>
    <w:p w:rsidR="008D37E9" w:rsidRPr="008D37E9" w:rsidRDefault="008D37E9" w:rsidP="008D37E9">
      <w:pPr>
        <w:pStyle w:val="Default"/>
        <w:ind w:left="5670"/>
        <w:rPr>
          <w:b/>
          <w:bCs/>
          <w:sz w:val="22"/>
          <w:szCs w:val="22"/>
        </w:rPr>
      </w:pPr>
      <w:r w:rsidRPr="009876DB">
        <w:rPr>
          <w:b/>
          <w:bCs/>
          <w:sz w:val="22"/>
          <w:szCs w:val="22"/>
        </w:rPr>
        <w:t>Утверждены</w:t>
      </w:r>
    </w:p>
    <w:p w:rsidR="008D37E9" w:rsidRPr="008D37E9" w:rsidRDefault="008D37E9" w:rsidP="008D37E9">
      <w:pPr>
        <w:pStyle w:val="Default"/>
        <w:ind w:left="5670"/>
        <w:rPr>
          <w:b/>
          <w:bCs/>
          <w:sz w:val="22"/>
          <w:szCs w:val="22"/>
        </w:rPr>
      </w:pPr>
      <w:r w:rsidRPr="008D37E9">
        <w:rPr>
          <w:b/>
          <w:bCs/>
          <w:sz w:val="22"/>
          <w:szCs w:val="22"/>
        </w:rPr>
        <w:t>Наблюдательным советом ПАО Московская Биржа 31 июля 2015 г. (Протокол №6)</w:t>
      </w:r>
    </w:p>
    <w:p w:rsidR="00535020" w:rsidRPr="00FE4812" w:rsidRDefault="00535020" w:rsidP="00535020">
      <w:pPr>
        <w:pStyle w:val="125"/>
        <w:tabs>
          <w:tab w:val="left" w:pos="1620"/>
        </w:tabs>
        <w:ind w:firstLine="0"/>
        <w:rPr>
          <w:rFonts w:ascii="Times New Roman" w:hAnsi="Times New Roman"/>
          <w:b/>
          <w:sz w:val="2"/>
          <w:szCs w:val="22"/>
        </w:rPr>
      </w:pPr>
    </w:p>
    <w:p w:rsidR="00127378" w:rsidRDefault="00127378" w:rsidP="00FE4812">
      <w:pPr>
        <w:tabs>
          <w:tab w:val="left" w:pos="0"/>
        </w:tabs>
        <w:spacing w:after="0"/>
        <w:jc w:val="center"/>
        <w:rPr>
          <w:rFonts w:ascii="Times New Roman" w:eastAsia="Arial" w:hAnsi="Times New Roman" w:cs="Times New Roman"/>
          <w:b/>
        </w:rPr>
      </w:pPr>
    </w:p>
    <w:p w:rsidR="00535020" w:rsidRPr="00FE4812" w:rsidRDefault="00535020" w:rsidP="00FE4812">
      <w:pPr>
        <w:tabs>
          <w:tab w:val="left" w:pos="0"/>
        </w:tabs>
        <w:spacing w:after="0"/>
        <w:jc w:val="center"/>
        <w:rPr>
          <w:rFonts w:ascii="Times New Roman" w:eastAsia="Arial" w:hAnsi="Times New Roman" w:cs="Times New Roman"/>
          <w:b/>
        </w:rPr>
      </w:pPr>
      <w:r w:rsidRPr="00FE4812">
        <w:rPr>
          <w:rFonts w:ascii="Times New Roman" w:eastAsia="Arial" w:hAnsi="Times New Roman" w:cs="Times New Roman"/>
          <w:b/>
        </w:rPr>
        <w:t>Тарифы ПАО Московская Биржа при совершении сделок с драгоценными металлами (далее – Тарифы)</w:t>
      </w:r>
    </w:p>
    <w:p w:rsidR="00535020" w:rsidRPr="00FE4812" w:rsidRDefault="00535020" w:rsidP="00FE4812">
      <w:pPr>
        <w:numPr>
          <w:ilvl w:val="0"/>
          <w:numId w:val="29"/>
        </w:numPr>
        <w:tabs>
          <w:tab w:val="left" w:pos="993"/>
        </w:tabs>
        <w:spacing w:before="120" w:after="120" w:line="24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FE4812">
        <w:rPr>
          <w:rFonts w:ascii="Times New Roman" w:hAnsi="Times New Roman" w:cs="Times New Roman"/>
          <w:bCs/>
        </w:rPr>
        <w:t>Размер, порядок расчета и сроки уплаты комиссионного вознаграждения ПАО Московская Биржа за организацию торгов, уплачиваемого при заключении Участником торгов сделок с</w:t>
      </w:r>
      <w:r w:rsidRPr="00FE4812" w:rsidDel="00E34DE8">
        <w:rPr>
          <w:rFonts w:ascii="Times New Roman" w:hAnsi="Times New Roman" w:cs="Times New Roman"/>
          <w:bCs/>
        </w:rPr>
        <w:t xml:space="preserve"> </w:t>
      </w:r>
      <w:r w:rsidRPr="00FE4812">
        <w:rPr>
          <w:rFonts w:ascii="Times New Roman" w:hAnsi="Times New Roman" w:cs="Times New Roman"/>
          <w:bCs/>
        </w:rPr>
        <w:t>драгоценными металлами на организованных торгах:</w:t>
      </w:r>
    </w:p>
    <w:p w:rsidR="00535020" w:rsidRPr="00FE4812" w:rsidRDefault="00535020" w:rsidP="00535020">
      <w:pPr>
        <w:numPr>
          <w:ilvl w:val="1"/>
          <w:numId w:val="29"/>
        </w:numPr>
        <w:tabs>
          <w:tab w:val="left" w:pos="-1985"/>
          <w:tab w:val="left" w:pos="993"/>
        </w:tabs>
        <w:spacing w:before="120" w:after="120" w:line="24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FE4812">
        <w:rPr>
          <w:rFonts w:ascii="Times New Roman" w:hAnsi="Times New Roman" w:cs="Times New Roman"/>
          <w:bCs/>
        </w:rPr>
        <w:t xml:space="preserve">При </w:t>
      </w:r>
      <w:r w:rsidRPr="00FE4812">
        <w:rPr>
          <w:rFonts w:ascii="Times New Roman" w:hAnsi="Times New Roman" w:cs="Times New Roman"/>
        </w:rPr>
        <w:t xml:space="preserve">заключении сделок спот </w:t>
      </w:r>
      <w:r w:rsidRPr="00FE4812">
        <w:rPr>
          <w:rFonts w:ascii="Times New Roman" w:hAnsi="Times New Roman" w:cs="Times New Roman"/>
          <w:bCs/>
        </w:rPr>
        <w:t>оборотная часть комиссионного вознаграждения устанавливается в следующем размере: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0"/>
        <w:gridCol w:w="5007"/>
      </w:tblGrid>
      <w:tr w:rsidR="00535020" w:rsidRPr="00FE4812" w:rsidTr="00FA354B">
        <w:tc>
          <w:tcPr>
            <w:tcW w:w="4890" w:type="dxa"/>
            <w:vAlign w:val="center"/>
          </w:tcPr>
          <w:p w:rsidR="00535020" w:rsidRPr="00FE4812" w:rsidRDefault="00535020" w:rsidP="00FA354B">
            <w:pPr>
              <w:tabs>
                <w:tab w:val="left" w:pos="720"/>
                <w:tab w:val="left" w:pos="108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812">
              <w:rPr>
                <w:rFonts w:ascii="Times New Roman" w:hAnsi="Times New Roman" w:cs="Times New Roman"/>
                <w:b/>
              </w:rPr>
              <w:t>Вид вознаграждения</w:t>
            </w:r>
          </w:p>
        </w:tc>
        <w:tc>
          <w:tcPr>
            <w:tcW w:w="5007" w:type="dxa"/>
            <w:vAlign w:val="center"/>
          </w:tcPr>
          <w:p w:rsidR="00535020" w:rsidRPr="00FE4812" w:rsidRDefault="00535020" w:rsidP="00FA354B">
            <w:pPr>
              <w:tabs>
                <w:tab w:val="left" w:pos="720"/>
                <w:tab w:val="left" w:pos="108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812">
              <w:rPr>
                <w:rFonts w:ascii="Times New Roman" w:hAnsi="Times New Roman" w:cs="Times New Roman"/>
                <w:b/>
                <w:bCs/>
              </w:rPr>
              <w:t>Оборотная часть (размер комиссионного вознаграждения, взимаемого от объема каждой сделки спот в сопряженной валюте</w:t>
            </w:r>
            <w:r w:rsidRPr="00FE4812" w:rsidDel="00D034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E4812">
              <w:rPr>
                <w:rFonts w:ascii="Times New Roman" w:hAnsi="Times New Roman" w:cs="Times New Roman"/>
                <w:b/>
                <w:bCs/>
              </w:rPr>
              <w:t>(%))</w:t>
            </w:r>
          </w:p>
        </w:tc>
      </w:tr>
      <w:tr w:rsidR="00535020" w:rsidRPr="00FE4812" w:rsidTr="00FA354B">
        <w:tc>
          <w:tcPr>
            <w:tcW w:w="4890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FE4812">
              <w:rPr>
                <w:bCs/>
                <w:color w:val="000000"/>
                <w:kern w:val="24"/>
                <w:sz w:val="22"/>
                <w:szCs w:val="22"/>
              </w:rPr>
              <w:t>Комиссионное вознаграждение за организацию торгов</w:t>
            </w:r>
          </w:p>
        </w:tc>
        <w:tc>
          <w:tcPr>
            <w:tcW w:w="5007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FE4812">
              <w:rPr>
                <w:color w:val="000000"/>
                <w:kern w:val="24"/>
                <w:sz w:val="22"/>
                <w:szCs w:val="22"/>
              </w:rPr>
              <w:t>0,006375%</w:t>
            </w:r>
          </w:p>
        </w:tc>
      </w:tr>
    </w:tbl>
    <w:p w:rsidR="00535020" w:rsidRPr="00FE4812" w:rsidRDefault="00535020" w:rsidP="00535020">
      <w:pPr>
        <w:numPr>
          <w:ilvl w:val="1"/>
          <w:numId w:val="29"/>
        </w:numPr>
        <w:tabs>
          <w:tab w:val="left" w:pos="-1985"/>
          <w:tab w:val="left" w:pos="993"/>
        </w:tabs>
        <w:spacing w:before="120" w:after="120" w:line="24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FE4812">
        <w:rPr>
          <w:rFonts w:ascii="Times New Roman" w:hAnsi="Times New Roman" w:cs="Times New Roman"/>
          <w:bCs/>
        </w:rPr>
        <w:t>При заключении сделок своп и своп контрактов оборотная часть комиссионного вознаграждения устанавливается в следующем размере в зависимости от срока исполнения обязательств по второй части сделок своп/своп контрактов: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2"/>
        <w:gridCol w:w="1261"/>
        <w:gridCol w:w="1232"/>
        <w:gridCol w:w="2470"/>
        <w:gridCol w:w="2469"/>
      </w:tblGrid>
      <w:tr w:rsidR="00535020" w:rsidRPr="00FE4812" w:rsidTr="00FA354B">
        <w:tc>
          <w:tcPr>
            <w:tcW w:w="2472" w:type="dxa"/>
            <w:vMerge w:val="restart"/>
            <w:vAlign w:val="center"/>
          </w:tcPr>
          <w:p w:rsidR="00535020" w:rsidRPr="00FE4812" w:rsidRDefault="00535020" w:rsidP="00FA354B">
            <w:pPr>
              <w:pStyle w:val="aff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E4812">
              <w:rPr>
                <w:b/>
                <w:sz w:val="22"/>
                <w:szCs w:val="22"/>
              </w:rPr>
              <w:t>Вид вознаграждения</w:t>
            </w:r>
          </w:p>
        </w:tc>
        <w:tc>
          <w:tcPr>
            <w:tcW w:w="7432" w:type="dxa"/>
            <w:gridSpan w:val="4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FE4812">
              <w:rPr>
                <w:b/>
                <w:bCs/>
                <w:kern w:val="24"/>
                <w:sz w:val="22"/>
                <w:szCs w:val="22"/>
              </w:rPr>
              <w:t>Оборотная часть (размер комиссионного вознаграждения, взимаемого от объема каждой первой части сделки своп/своп контракта в сопряженной валюте (%))</w:t>
            </w:r>
          </w:p>
        </w:tc>
      </w:tr>
      <w:tr w:rsidR="00535020" w:rsidRPr="00FE4812" w:rsidTr="00845131">
        <w:trPr>
          <w:trHeight w:val="691"/>
        </w:trPr>
        <w:tc>
          <w:tcPr>
            <w:tcW w:w="2472" w:type="dxa"/>
            <w:vMerge/>
            <w:vAlign w:val="center"/>
          </w:tcPr>
          <w:p w:rsidR="00535020" w:rsidRPr="00FE4812" w:rsidRDefault="00535020" w:rsidP="00FA354B">
            <w:pPr>
              <w:pStyle w:val="aff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535020" w:rsidRPr="00FE4812" w:rsidRDefault="00535020" w:rsidP="00FA354B">
            <w:pPr>
              <w:pStyle w:val="aff"/>
              <w:spacing w:before="120" w:after="12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FE4812">
              <w:rPr>
                <w:b/>
                <w:bCs/>
                <w:kern w:val="24"/>
                <w:sz w:val="22"/>
                <w:szCs w:val="22"/>
              </w:rPr>
              <w:t>По сделкам своп</w:t>
            </w:r>
          </w:p>
        </w:tc>
        <w:tc>
          <w:tcPr>
            <w:tcW w:w="6171" w:type="dxa"/>
            <w:gridSpan w:val="3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rPr>
                <w:bCs/>
                <w:kern w:val="24"/>
                <w:sz w:val="22"/>
                <w:szCs w:val="22"/>
              </w:rPr>
            </w:pPr>
            <w:r w:rsidRPr="00FE4812">
              <w:rPr>
                <w:bCs/>
                <w:kern w:val="24"/>
                <w:sz w:val="22"/>
                <w:szCs w:val="22"/>
              </w:rPr>
              <w:t>По своп контрактам со сроками исполнения обязательств по второй части своп контракта, отстоящими от даты исполнения обязательств по первой части соответствующего своп контракта, на:</w:t>
            </w:r>
          </w:p>
        </w:tc>
      </w:tr>
      <w:tr w:rsidR="00535020" w:rsidRPr="00FE4812" w:rsidTr="00845131">
        <w:trPr>
          <w:trHeight w:val="178"/>
        </w:trPr>
        <w:tc>
          <w:tcPr>
            <w:tcW w:w="2472" w:type="dxa"/>
            <w:vMerge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1" w:type="dxa"/>
            <w:vMerge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FE4812">
              <w:rPr>
                <w:b/>
                <w:sz w:val="22"/>
                <w:szCs w:val="22"/>
              </w:rPr>
              <w:t>7 дней</w:t>
            </w:r>
          </w:p>
        </w:tc>
        <w:tc>
          <w:tcPr>
            <w:tcW w:w="2470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FE4812">
              <w:rPr>
                <w:b/>
                <w:bCs/>
                <w:kern w:val="24"/>
                <w:sz w:val="22"/>
                <w:szCs w:val="22"/>
              </w:rPr>
              <w:t>1 месяц</w:t>
            </w:r>
          </w:p>
        </w:tc>
        <w:tc>
          <w:tcPr>
            <w:tcW w:w="2469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FE4812">
              <w:rPr>
                <w:b/>
                <w:bCs/>
                <w:kern w:val="24"/>
                <w:sz w:val="22"/>
                <w:szCs w:val="22"/>
              </w:rPr>
              <w:t>6 месяцев</w:t>
            </w:r>
          </w:p>
        </w:tc>
      </w:tr>
      <w:tr w:rsidR="00535020" w:rsidRPr="00FE4812" w:rsidTr="00FA354B">
        <w:tc>
          <w:tcPr>
            <w:tcW w:w="2472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FE4812">
              <w:rPr>
                <w:color w:val="000000"/>
                <w:kern w:val="24"/>
                <w:sz w:val="22"/>
                <w:szCs w:val="22"/>
              </w:rPr>
              <w:t>Комиссионное вознаграждение за организацию торгов</w:t>
            </w:r>
          </w:p>
        </w:tc>
        <w:tc>
          <w:tcPr>
            <w:tcW w:w="2493" w:type="dxa"/>
            <w:gridSpan w:val="2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FE4812">
              <w:rPr>
                <w:color w:val="000000"/>
                <w:kern w:val="24"/>
                <w:sz w:val="22"/>
                <w:szCs w:val="22"/>
              </w:rPr>
              <w:t>0,000</w:t>
            </w:r>
            <w:r w:rsidRPr="00FE4812">
              <w:rPr>
                <w:color w:val="000000"/>
                <w:kern w:val="24"/>
                <w:sz w:val="22"/>
                <w:szCs w:val="22"/>
                <w:lang w:val="en-US"/>
              </w:rPr>
              <w:t>21250</w:t>
            </w:r>
            <w:r w:rsidRPr="00FE4812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470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FE4812">
              <w:rPr>
                <w:color w:val="000000"/>
                <w:kern w:val="24"/>
                <w:sz w:val="22"/>
                <w:szCs w:val="22"/>
              </w:rPr>
              <w:t>0,000</w:t>
            </w:r>
            <w:r w:rsidRPr="00FE4812">
              <w:rPr>
                <w:color w:val="000000"/>
                <w:kern w:val="24"/>
                <w:sz w:val="22"/>
                <w:szCs w:val="22"/>
                <w:lang w:val="en-US"/>
              </w:rPr>
              <w:t>85000</w:t>
            </w:r>
            <w:r w:rsidRPr="00FE4812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469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FE4812">
              <w:rPr>
                <w:color w:val="000000"/>
                <w:kern w:val="24"/>
                <w:sz w:val="22"/>
                <w:szCs w:val="22"/>
              </w:rPr>
              <w:t>0,00</w:t>
            </w:r>
            <w:r w:rsidRPr="00FE4812">
              <w:rPr>
                <w:color w:val="000000"/>
                <w:kern w:val="24"/>
                <w:sz w:val="22"/>
                <w:szCs w:val="22"/>
                <w:lang w:val="en-US"/>
              </w:rPr>
              <w:t>21250</w:t>
            </w:r>
            <w:r w:rsidRPr="00FE4812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</w:tr>
    </w:tbl>
    <w:p w:rsidR="00535020" w:rsidRPr="00FE4812" w:rsidRDefault="00535020" w:rsidP="00535020">
      <w:pPr>
        <w:tabs>
          <w:tab w:val="left" w:pos="-1985"/>
          <w:tab w:val="left" w:pos="993"/>
        </w:tabs>
        <w:spacing w:before="120" w:after="120"/>
        <w:ind w:firstLine="284"/>
        <w:jc w:val="both"/>
        <w:rPr>
          <w:rFonts w:ascii="Times New Roman" w:hAnsi="Times New Roman" w:cs="Times New Roman"/>
          <w:bCs/>
        </w:rPr>
      </w:pPr>
      <w:r w:rsidRPr="00FE4812">
        <w:rPr>
          <w:rFonts w:ascii="Times New Roman" w:hAnsi="Times New Roman" w:cs="Times New Roman"/>
          <w:bCs/>
        </w:rPr>
        <w:t>Оборотная часть комиссионного вознаграждения рассчитывается для каждого Участника торгов по первым частям сделок своп/своп контрактов от объема каждой сделки по сопряженной валюте лота.</w:t>
      </w:r>
    </w:p>
    <w:p w:rsidR="00535020" w:rsidRPr="00FE4812" w:rsidRDefault="00535020" w:rsidP="00535020">
      <w:pPr>
        <w:numPr>
          <w:ilvl w:val="1"/>
          <w:numId w:val="29"/>
        </w:numPr>
        <w:tabs>
          <w:tab w:val="left" w:pos="-1985"/>
          <w:tab w:val="left" w:pos="993"/>
        </w:tabs>
        <w:spacing w:before="120" w:after="120" w:line="24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FE4812">
        <w:rPr>
          <w:rFonts w:ascii="Times New Roman" w:hAnsi="Times New Roman" w:cs="Times New Roman"/>
          <w:bCs/>
        </w:rPr>
        <w:t>При заключении поставочных фьючерсных контрактов оборотная часть комиссионного вознаграждения устанавливается в следующем размере в зависимости от срока исполнения обязательств по поставочному фьючерсу: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1275"/>
        <w:gridCol w:w="1276"/>
        <w:gridCol w:w="1418"/>
        <w:gridCol w:w="1275"/>
        <w:gridCol w:w="1418"/>
      </w:tblGrid>
      <w:tr w:rsidR="00535020" w:rsidRPr="00FE4812" w:rsidTr="00FE4812">
        <w:trPr>
          <w:trHeight w:val="737"/>
        </w:trPr>
        <w:tc>
          <w:tcPr>
            <w:tcW w:w="1843" w:type="dxa"/>
            <w:vMerge w:val="restart"/>
            <w:vAlign w:val="center"/>
          </w:tcPr>
          <w:p w:rsidR="00535020" w:rsidRPr="00FE4812" w:rsidRDefault="00535020" w:rsidP="00FA354B">
            <w:pPr>
              <w:pStyle w:val="aff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E4812">
              <w:rPr>
                <w:b/>
                <w:sz w:val="22"/>
                <w:szCs w:val="22"/>
              </w:rPr>
              <w:t>Вид вознаграждения</w:t>
            </w:r>
          </w:p>
        </w:tc>
        <w:tc>
          <w:tcPr>
            <w:tcW w:w="8080" w:type="dxa"/>
            <w:gridSpan w:val="6"/>
            <w:vAlign w:val="center"/>
          </w:tcPr>
          <w:p w:rsidR="00535020" w:rsidRPr="00FE4812" w:rsidRDefault="00535020" w:rsidP="00FA354B">
            <w:pPr>
              <w:pStyle w:val="aff"/>
              <w:spacing w:before="120" w:after="120" w:line="276" w:lineRule="auto"/>
              <w:ind w:left="115" w:right="115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FE4812">
              <w:rPr>
                <w:b/>
                <w:bCs/>
                <w:kern w:val="24"/>
                <w:sz w:val="22"/>
                <w:szCs w:val="22"/>
              </w:rPr>
              <w:t>Оборотная часть (размер комиссионного вознаграждения, взимаемого от объема каждой сделки в сопряженной валюте (%))</w:t>
            </w:r>
          </w:p>
        </w:tc>
      </w:tr>
      <w:tr w:rsidR="00535020" w:rsidRPr="00FE4812" w:rsidTr="00FE4812">
        <w:trPr>
          <w:trHeight w:val="737"/>
        </w:trPr>
        <w:tc>
          <w:tcPr>
            <w:tcW w:w="1843" w:type="dxa"/>
            <w:vMerge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80" w:type="dxa"/>
            <w:gridSpan w:val="6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 w:line="276" w:lineRule="auto"/>
              <w:ind w:left="115" w:right="115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FE4812">
              <w:rPr>
                <w:b/>
                <w:bCs/>
                <w:kern w:val="24"/>
                <w:sz w:val="22"/>
                <w:szCs w:val="22"/>
              </w:rPr>
              <w:t>Срок исполнения обязательств по поставочным фьючерсам:</w:t>
            </w:r>
          </w:p>
        </w:tc>
      </w:tr>
      <w:tr w:rsidR="00535020" w:rsidRPr="00FE4812" w:rsidTr="00FE4812">
        <w:trPr>
          <w:trHeight w:val="737"/>
        </w:trPr>
        <w:tc>
          <w:tcPr>
            <w:tcW w:w="1843" w:type="dxa"/>
            <w:vMerge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 w:line="276" w:lineRule="auto"/>
              <w:ind w:left="115" w:right="115"/>
              <w:jc w:val="center"/>
              <w:rPr>
                <w:b/>
                <w:sz w:val="22"/>
                <w:szCs w:val="22"/>
              </w:rPr>
            </w:pPr>
            <w:r w:rsidRPr="00FE4812">
              <w:rPr>
                <w:b/>
                <w:bCs/>
                <w:kern w:val="24"/>
                <w:sz w:val="22"/>
                <w:szCs w:val="22"/>
              </w:rPr>
              <w:t>2 дн. –</w:t>
            </w:r>
            <w:r w:rsidRPr="00FE4812">
              <w:rPr>
                <w:b/>
                <w:bCs/>
                <w:kern w:val="24"/>
                <w:sz w:val="22"/>
                <w:szCs w:val="22"/>
              </w:rPr>
              <w:br/>
              <w:t>6 дн.</w:t>
            </w:r>
            <w:r w:rsidRPr="00FE4812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FE4812">
              <w:rPr>
                <w:b/>
                <w:bCs/>
                <w:kern w:val="24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275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 w:line="276" w:lineRule="auto"/>
              <w:ind w:left="115" w:right="115"/>
              <w:jc w:val="center"/>
              <w:rPr>
                <w:b/>
                <w:sz w:val="22"/>
                <w:szCs w:val="22"/>
              </w:rPr>
            </w:pPr>
            <w:r w:rsidRPr="00FE4812">
              <w:rPr>
                <w:b/>
                <w:bCs/>
                <w:kern w:val="24"/>
                <w:sz w:val="22"/>
                <w:szCs w:val="22"/>
              </w:rPr>
              <w:t>7 дн. –</w:t>
            </w:r>
            <w:r w:rsidRPr="00FE4812">
              <w:rPr>
                <w:b/>
                <w:bCs/>
                <w:kern w:val="24"/>
                <w:sz w:val="22"/>
                <w:szCs w:val="22"/>
              </w:rPr>
              <w:br/>
              <w:t>29 дн.</w:t>
            </w:r>
          </w:p>
        </w:tc>
        <w:tc>
          <w:tcPr>
            <w:tcW w:w="1276" w:type="dxa"/>
            <w:vAlign w:val="center"/>
          </w:tcPr>
          <w:p w:rsidR="00535020" w:rsidRPr="00FE4812" w:rsidRDefault="00535020" w:rsidP="006D3F35">
            <w:pPr>
              <w:pStyle w:val="aff"/>
              <w:spacing w:before="120" w:beforeAutospacing="0" w:after="120" w:afterAutospacing="0" w:line="276" w:lineRule="auto"/>
              <w:ind w:left="115" w:right="115"/>
              <w:jc w:val="center"/>
              <w:rPr>
                <w:b/>
                <w:sz w:val="22"/>
                <w:szCs w:val="22"/>
              </w:rPr>
            </w:pPr>
            <w:r w:rsidRPr="00FE4812">
              <w:rPr>
                <w:b/>
                <w:bCs/>
                <w:kern w:val="24"/>
                <w:sz w:val="22"/>
                <w:szCs w:val="22"/>
              </w:rPr>
              <w:t>30 дн. –89</w:t>
            </w:r>
            <w:r w:rsidR="006D3F35" w:rsidRPr="00FE4812">
              <w:rPr>
                <w:b/>
                <w:bCs/>
                <w:kern w:val="24"/>
                <w:sz w:val="22"/>
                <w:szCs w:val="22"/>
              </w:rPr>
              <w:t> </w:t>
            </w:r>
            <w:r w:rsidRPr="00FE4812">
              <w:rPr>
                <w:b/>
                <w:bCs/>
                <w:kern w:val="24"/>
                <w:sz w:val="22"/>
                <w:szCs w:val="22"/>
              </w:rPr>
              <w:t>дн.</w:t>
            </w:r>
          </w:p>
        </w:tc>
        <w:tc>
          <w:tcPr>
            <w:tcW w:w="1418" w:type="dxa"/>
            <w:vAlign w:val="center"/>
          </w:tcPr>
          <w:p w:rsidR="00535020" w:rsidRPr="00FE4812" w:rsidRDefault="006D3F35" w:rsidP="00FA354B">
            <w:pPr>
              <w:pStyle w:val="aff"/>
              <w:spacing w:before="120" w:beforeAutospacing="0" w:after="120" w:afterAutospacing="0" w:line="276" w:lineRule="auto"/>
              <w:ind w:left="115" w:right="115"/>
              <w:jc w:val="center"/>
              <w:rPr>
                <w:b/>
                <w:sz w:val="22"/>
                <w:szCs w:val="22"/>
              </w:rPr>
            </w:pPr>
            <w:r w:rsidRPr="00FE4812">
              <w:rPr>
                <w:b/>
                <w:bCs/>
                <w:kern w:val="24"/>
                <w:sz w:val="22"/>
                <w:szCs w:val="22"/>
              </w:rPr>
              <w:t>90 дн. –179 </w:t>
            </w:r>
            <w:r w:rsidR="00535020" w:rsidRPr="00FE4812">
              <w:rPr>
                <w:b/>
                <w:bCs/>
                <w:kern w:val="24"/>
                <w:sz w:val="22"/>
                <w:szCs w:val="22"/>
              </w:rPr>
              <w:t>дн.</w:t>
            </w:r>
          </w:p>
        </w:tc>
        <w:tc>
          <w:tcPr>
            <w:tcW w:w="1275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 w:line="276" w:lineRule="auto"/>
              <w:ind w:left="115" w:right="115"/>
              <w:jc w:val="center"/>
              <w:rPr>
                <w:b/>
                <w:sz w:val="22"/>
                <w:szCs w:val="22"/>
              </w:rPr>
            </w:pPr>
            <w:r w:rsidRPr="00FE4812">
              <w:rPr>
                <w:b/>
                <w:bCs/>
                <w:kern w:val="24"/>
                <w:sz w:val="22"/>
                <w:szCs w:val="22"/>
              </w:rPr>
              <w:t>180 дн. –269 дн.</w:t>
            </w:r>
          </w:p>
        </w:tc>
        <w:tc>
          <w:tcPr>
            <w:tcW w:w="1418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 w:line="276" w:lineRule="auto"/>
              <w:ind w:left="115" w:right="115"/>
              <w:jc w:val="center"/>
              <w:rPr>
                <w:b/>
                <w:sz w:val="22"/>
                <w:szCs w:val="22"/>
              </w:rPr>
            </w:pPr>
            <w:r w:rsidRPr="00FE4812">
              <w:rPr>
                <w:b/>
                <w:bCs/>
                <w:kern w:val="24"/>
                <w:sz w:val="22"/>
                <w:szCs w:val="22"/>
              </w:rPr>
              <w:t>270 дн. –364 дн.</w:t>
            </w:r>
          </w:p>
        </w:tc>
      </w:tr>
      <w:tr w:rsidR="00535020" w:rsidRPr="00FE4812" w:rsidTr="00FE4812">
        <w:trPr>
          <w:trHeight w:val="282"/>
        </w:trPr>
        <w:tc>
          <w:tcPr>
            <w:tcW w:w="1843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FE4812">
              <w:rPr>
                <w:kern w:val="24"/>
                <w:sz w:val="22"/>
                <w:szCs w:val="22"/>
              </w:rPr>
              <w:lastRenderedPageBreak/>
              <w:t>Комиссионное вознаграждение за организацию торгов</w:t>
            </w:r>
          </w:p>
        </w:tc>
        <w:tc>
          <w:tcPr>
            <w:tcW w:w="1418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 w:line="276" w:lineRule="auto"/>
              <w:jc w:val="center"/>
              <w:rPr>
                <w:sz w:val="20"/>
                <w:szCs w:val="22"/>
              </w:rPr>
            </w:pPr>
            <w:r w:rsidRPr="00FE4812">
              <w:rPr>
                <w:kern w:val="24"/>
                <w:sz w:val="20"/>
                <w:szCs w:val="22"/>
              </w:rPr>
              <w:t>0,0021250%</w:t>
            </w:r>
          </w:p>
        </w:tc>
        <w:tc>
          <w:tcPr>
            <w:tcW w:w="1275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 w:line="276" w:lineRule="auto"/>
              <w:jc w:val="center"/>
              <w:rPr>
                <w:sz w:val="20"/>
                <w:szCs w:val="22"/>
              </w:rPr>
            </w:pPr>
            <w:r w:rsidRPr="00FE4812">
              <w:rPr>
                <w:kern w:val="24"/>
                <w:sz w:val="20"/>
                <w:szCs w:val="22"/>
              </w:rPr>
              <w:t>0,0042</w:t>
            </w:r>
            <w:r w:rsidRPr="00FE4812">
              <w:rPr>
                <w:kern w:val="24"/>
                <w:sz w:val="20"/>
                <w:szCs w:val="22"/>
                <w:lang w:val="en-US"/>
              </w:rPr>
              <w:t>500</w:t>
            </w:r>
            <w:r w:rsidRPr="00FE4812">
              <w:rPr>
                <w:kern w:val="24"/>
                <w:sz w:val="20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 w:line="276" w:lineRule="auto"/>
              <w:jc w:val="center"/>
              <w:rPr>
                <w:sz w:val="20"/>
                <w:szCs w:val="22"/>
              </w:rPr>
            </w:pPr>
            <w:r w:rsidRPr="00FE4812">
              <w:rPr>
                <w:kern w:val="24"/>
                <w:sz w:val="20"/>
                <w:szCs w:val="22"/>
              </w:rPr>
              <w:t>0,00</w:t>
            </w:r>
            <w:r w:rsidRPr="00FE4812">
              <w:rPr>
                <w:kern w:val="24"/>
                <w:sz w:val="20"/>
                <w:szCs w:val="22"/>
                <w:lang w:val="en-US"/>
              </w:rPr>
              <w:t>85000</w:t>
            </w:r>
            <w:r w:rsidRPr="00FE4812">
              <w:rPr>
                <w:kern w:val="24"/>
                <w:sz w:val="20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 w:line="276" w:lineRule="auto"/>
              <w:jc w:val="center"/>
              <w:rPr>
                <w:sz w:val="20"/>
                <w:szCs w:val="22"/>
              </w:rPr>
            </w:pPr>
            <w:r w:rsidRPr="00FE4812">
              <w:rPr>
                <w:kern w:val="24"/>
                <w:sz w:val="20"/>
                <w:szCs w:val="22"/>
              </w:rPr>
              <w:t>0,0</w:t>
            </w:r>
            <w:r w:rsidRPr="00FE4812">
              <w:rPr>
                <w:kern w:val="24"/>
                <w:sz w:val="20"/>
                <w:szCs w:val="22"/>
                <w:lang w:val="en-US"/>
              </w:rPr>
              <w:t>127500</w:t>
            </w:r>
            <w:r w:rsidRPr="00FE4812">
              <w:rPr>
                <w:kern w:val="24"/>
                <w:sz w:val="20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 w:line="276" w:lineRule="auto"/>
              <w:jc w:val="center"/>
              <w:rPr>
                <w:sz w:val="20"/>
                <w:szCs w:val="22"/>
              </w:rPr>
            </w:pPr>
            <w:r w:rsidRPr="00FE4812">
              <w:rPr>
                <w:kern w:val="24"/>
                <w:sz w:val="20"/>
                <w:szCs w:val="22"/>
              </w:rPr>
              <w:t>0,0</w:t>
            </w:r>
            <w:r w:rsidRPr="00FE4812">
              <w:rPr>
                <w:kern w:val="24"/>
                <w:sz w:val="20"/>
                <w:szCs w:val="22"/>
                <w:lang w:val="en-US"/>
              </w:rPr>
              <w:t>212500</w:t>
            </w:r>
            <w:r w:rsidRPr="00FE4812">
              <w:rPr>
                <w:kern w:val="24"/>
                <w:sz w:val="20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 w:line="276" w:lineRule="auto"/>
              <w:jc w:val="center"/>
              <w:rPr>
                <w:sz w:val="20"/>
                <w:szCs w:val="22"/>
              </w:rPr>
            </w:pPr>
            <w:r w:rsidRPr="00FE4812">
              <w:rPr>
                <w:kern w:val="24"/>
                <w:sz w:val="20"/>
                <w:szCs w:val="22"/>
              </w:rPr>
              <w:t>0,031875</w:t>
            </w:r>
            <w:r w:rsidRPr="00FE4812">
              <w:rPr>
                <w:kern w:val="24"/>
                <w:sz w:val="20"/>
                <w:szCs w:val="22"/>
                <w:lang w:val="en-US"/>
              </w:rPr>
              <w:t>0</w:t>
            </w:r>
            <w:r w:rsidRPr="00FE4812">
              <w:rPr>
                <w:kern w:val="24"/>
                <w:sz w:val="20"/>
                <w:szCs w:val="22"/>
              </w:rPr>
              <w:t>%</w:t>
            </w:r>
          </w:p>
        </w:tc>
      </w:tr>
    </w:tbl>
    <w:p w:rsidR="00535020" w:rsidRPr="00FE4812" w:rsidRDefault="00535020" w:rsidP="00535020">
      <w:pPr>
        <w:numPr>
          <w:ilvl w:val="1"/>
          <w:numId w:val="29"/>
        </w:numPr>
        <w:tabs>
          <w:tab w:val="left" w:pos="-1985"/>
          <w:tab w:val="left" w:pos="993"/>
        </w:tabs>
        <w:spacing w:before="120" w:after="120" w:line="24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FE4812">
        <w:rPr>
          <w:rFonts w:ascii="Times New Roman" w:hAnsi="Times New Roman" w:cs="Times New Roman"/>
          <w:bCs/>
        </w:rPr>
        <w:t>При заключении Участником торгов сделок с драгоценными металлами на организованных торгах устанавливается минимальная ставка оборотной части комиссионного вознаграждения ПАО Московская Биржа за организацию торгов в размере 0,42 российского рубля за одну сделку.</w:t>
      </w:r>
    </w:p>
    <w:p w:rsidR="00535020" w:rsidRPr="00FE4812" w:rsidRDefault="00535020" w:rsidP="00535020">
      <w:pPr>
        <w:numPr>
          <w:ilvl w:val="1"/>
          <w:numId w:val="29"/>
        </w:numPr>
        <w:tabs>
          <w:tab w:val="left" w:pos="-1985"/>
          <w:tab w:val="left" w:pos="993"/>
        </w:tabs>
        <w:spacing w:before="120" w:after="120" w:line="24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FE4812">
        <w:rPr>
          <w:rFonts w:ascii="Times New Roman" w:hAnsi="Times New Roman" w:cs="Times New Roman"/>
          <w:bCs/>
        </w:rPr>
        <w:t>Комиссионное вознаграждение за организацию торгов при заключении Участником торгов сделок с драгоценными металлами уплачивается Участником торгов в соответствии с правилами торгов, регламентирующими порядок заключения сделок с драгоценными металлами на организованных торгах ПАО Московская Биржа (далее – Правила торгов),</w:t>
      </w:r>
      <w:r w:rsidRPr="00FE4812" w:rsidDel="0074472E">
        <w:rPr>
          <w:rFonts w:ascii="Times New Roman" w:hAnsi="Times New Roman" w:cs="Times New Roman"/>
          <w:bCs/>
        </w:rPr>
        <w:t xml:space="preserve"> </w:t>
      </w:r>
      <w:r w:rsidRPr="00FE4812">
        <w:rPr>
          <w:rFonts w:ascii="Times New Roman" w:hAnsi="Times New Roman" w:cs="Times New Roman"/>
          <w:bCs/>
        </w:rPr>
        <w:t>в российских рублях в следующем порядке:</w:t>
      </w:r>
    </w:p>
    <w:p w:rsidR="00535020" w:rsidRPr="00FE4812" w:rsidRDefault="00535020" w:rsidP="00535020">
      <w:pPr>
        <w:tabs>
          <w:tab w:val="left" w:pos="-1985"/>
          <w:tab w:val="left" w:pos="993"/>
        </w:tabs>
        <w:spacing w:before="120" w:after="120"/>
        <w:ind w:left="284"/>
        <w:jc w:val="both"/>
        <w:rPr>
          <w:rFonts w:ascii="Times New Roman" w:hAnsi="Times New Roman" w:cs="Times New Roman"/>
          <w:bCs/>
        </w:rPr>
      </w:pPr>
      <w:r w:rsidRPr="00FE4812">
        <w:rPr>
          <w:rFonts w:ascii="Times New Roman" w:hAnsi="Times New Roman" w:cs="Times New Roman"/>
          <w:bCs/>
        </w:rPr>
        <w:t>1.5.1.</w:t>
      </w:r>
      <w:r w:rsidRPr="00FE4812">
        <w:rPr>
          <w:rFonts w:ascii="Times New Roman" w:hAnsi="Times New Roman" w:cs="Times New Roman"/>
          <w:bCs/>
        </w:rPr>
        <w:tab/>
        <w:t>оборотная часть вознаграждения в размере, установленном в подпунктах 1.1, 1.2 и 1.3 пункта 1 настоящих Тарифов, и комиссионное вознаграждение, взимаемое из расчета минимальной ставки комиссионного вознаграждения, установленной подпунктом 1.4 пункта 1 настоящих Тарифов, в день заключения сделки удерживается Банком НКЦ (АО) с расчетного кода соответствующего Участника клиринга и перечисляется ПАО Московская Биржа.</w:t>
      </w:r>
    </w:p>
    <w:p w:rsidR="00535020" w:rsidRPr="00FE4812" w:rsidRDefault="00535020" w:rsidP="00535020">
      <w:pPr>
        <w:numPr>
          <w:ilvl w:val="0"/>
          <w:numId w:val="29"/>
        </w:numPr>
        <w:tabs>
          <w:tab w:val="left" w:pos="993"/>
        </w:tabs>
        <w:spacing w:before="120" w:after="120" w:line="24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FE4812">
        <w:rPr>
          <w:rFonts w:ascii="Times New Roman" w:hAnsi="Times New Roman" w:cs="Times New Roman"/>
          <w:bCs/>
        </w:rPr>
        <w:t>Размер, порядок расчета и сроки уплаты вознаграждения ПАО Московская Биржа за предоставление интегрированного технологического сервиса (далее – ИТС) при заключении Участником торгов – пользователем ПТК ТЦ сделок с драгоценными металлами на организованных торгах:</w:t>
      </w:r>
    </w:p>
    <w:p w:rsidR="00535020" w:rsidRPr="00FE4812" w:rsidRDefault="00535020" w:rsidP="00535020">
      <w:pPr>
        <w:numPr>
          <w:ilvl w:val="1"/>
          <w:numId w:val="29"/>
        </w:numPr>
        <w:tabs>
          <w:tab w:val="left" w:pos="-1985"/>
          <w:tab w:val="left" w:pos="993"/>
        </w:tabs>
        <w:spacing w:before="120" w:after="120" w:line="24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FE4812">
        <w:rPr>
          <w:rFonts w:ascii="Times New Roman" w:hAnsi="Times New Roman" w:cs="Times New Roman"/>
          <w:bCs/>
        </w:rPr>
        <w:t>При заключении сделок спот оборотная часть вознаграждения за предоставление ИТС устанавливаются в следующем размере:</w:t>
      </w:r>
    </w:p>
    <w:p w:rsidR="00845131" w:rsidRPr="00FE4812" w:rsidRDefault="00845131" w:rsidP="00845131">
      <w:pPr>
        <w:tabs>
          <w:tab w:val="left" w:pos="-1985"/>
          <w:tab w:val="left" w:pos="993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0"/>
        <w:gridCol w:w="5007"/>
      </w:tblGrid>
      <w:tr w:rsidR="00535020" w:rsidRPr="00FE4812" w:rsidTr="00FA354B">
        <w:tc>
          <w:tcPr>
            <w:tcW w:w="4890" w:type="dxa"/>
            <w:vAlign w:val="center"/>
          </w:tcPr>
          <w:p w:rsidR="00535020" w:rsidRPr="00FE4812" w:rsidRDefault="00535020" w:rsidP="00FA354B">
            <w:pPr>
              <w:tabs>
                <w:tab w:val="left" w:pos="720"/>
                <w:tab w:val="left" w:pos="108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812">
              <w:rPr>
                <w:rFonts w:ascii="Times New Roman" w:hAnsi="Times New Roman" w:cs="Times New Roman"/>
                <w:b/>
              </w:rPr>
              <w:t>Вид вознаграждения</w:t>
            </w:r>
          </w:p>
        </w:tc>
        <w:tc>
          <w:tcPr>
            <w:tcW w:w="5007" w:type="dxa"/>
            <w:vAlign w:val="center"/>
          </w:tcPr>
          <w:p w:rsidR="00535020" w:rsidRPr="00FE4812" w:rsidRDefault="00535020" w:rsidP="00FA354B">
            <w:pPr>
              <w:pStyle w:val="NoSpacing1"/>
              <w:keepNext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 xml:space="preserve">Оборотная часть </w:t>
            </w:r>
            <w:r w:rsidRPr="00FE4812">
              <w:rPr>
                <w:rFonts w:ascii="Times New Roman" w:hAnsi="Times New Roman"/>
                <w:b/>
                <w:lang w:val="ru-RU"/>
              </w:rPr>
              <w:t>(размер вознаграждения за предоставление ИТС, взимаемого от объема каждой сделки спот в сопряженной валюте (%))</w:t>
            </w:r>
          </w:p>
        </w:tc>
      </w:tr>
      <w:tr w:rsidR="00535020" w:rsidRPr="00FE4812" w:rsidTr="00FA354B">
        <w:tc>
          <w:tcPr>
            <w:tcW w:w="4890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FE4812">
              <w:rPr>
                <w:color w:val="000000"/>
                <w:kern w:val="24"/>
                <w:sz w:val="22"/>
                <w:szCs w:val="22"/>
              </w:rPr>
              <w:t>Комиссионное вознаграждение за предоставление ИТС</w:t>
            </w:r>
          </w:p>
        </w:tc>
        <w:tc>
          <w:tcPr>
            <w:tcW w:w="5007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FE4812">
              <w:rPr>
                <w:color w:val="000000"/>
                <w:kern w:val="24"/>
                <w:sz w:val="22"/>
                <w:szCs w:val="22"/>
              </w:rPr>
              <w:t>0,002250%</w:t>
            </w:r>
          </w:p>
        </w:tc>
      </w:tr>
    </w:tbl>
    <w:p w:rsidR="00845131" w:rsidRPr="00FE4812" w:rsidRDefault="00845131" w:rsidP="00845131">
      <w:pPr>
        <w:tabs>
          <w:tab w:val="left" w:pos="-1985"/>
          <w:tab w:val="left" w:pos="993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bCs/>
        </w:rPr>
      </w:pPr>
    </w:p>
    <w:p w:rsidR="00535020" w:rsidRPr="00FE4812" w:rsidRDefault="00535020" w:rsidP="00535020">
      <w:pPr>
        <w:numPr>
          <w:ilvl w:val="1"/>
          <w:numId w:val="29"/>
        </w:numPr>
        <w:tabs>
          <w:tab w:val="left" w:pos="-1985"/>
          <w:tab w:val="left" w:pos="993"/>
        </w:tabs>
        <w:spacing w:before="120" w:after="120" w:line="24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FE4812">
        <w:rPr>
          <w:rFonts w:ascii="Times New Roman" w:hAnsi="Times New Roman" w:cs="Times New Roman"/>
          <w:bCs/>
        </w:rPr>
        <w:t>При заключении сделок своп и своп контрактов оборотная часть вознаграждения за предоставление ИТС устанавливается в следующем размере в зависимости от срока исполнения обязательств по второй части сделок своп/своп контрактов: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483"/>
        <w:gridCol w:w="1173"/>
        <w:gridCol w:w="2344"/>
        <w:gridCol w:w="2336"/>
      </w:tblGrid>
      <w:tr w:rsidR="00535020" w:rsidRPr="00FE4812" w:rsidTr="00D5727C">
        <w:trPr>
          <w:trHeight w:val="400"/>
        </w:trPr>
        <w:tc>
          <w:tcPr>
            <w:tcW w:w="2127" w:type="dxa"/>
            <w:vMerge w:val="restart"/>
            <w:vAlign w:val="center"/>
          </w:tcPr>
          <w:p w:rsidR="00535020" w:rsidRPr="00FE4812" w:rsidRDefault="00535020" w:rsidP="00FA354B">
            <w:pPr>
              <w:pStyle w:val="aff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E4812">
              <w:rPr>
                <w:b/>
                <w:sz w:val="22"/>
                <w:szCs w:val="22"/>
              </w:rPr>
              <w:t>Вид вознаграждения</w:t>
            </w:r>
          </w:p>
        </w:tc>
        <w:tc>
          <w:tcPr>
            <w:tcW w:w="7336" w:type="dxa"/>
            <w:gridSpan w:val="4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FE4812">
              <w:rPr>
                <w:b/>
                <w:bCs/>
                <w:kern w:val="24"/>
                <w:sz w:val="22"/>
                <w:szCs w:val="22"/>
              </w:rPr>
              <w:t>Оборотная часть (размер вознаграждения за предоставление ИТС, взимаемого от объема каждой первой части сделки своп/своп контракта в сопряженной валюте (%))</w:t>
            </w:r>
          </w:p>
        </w:tc>
      </w:tr>
      <w:tr w:rsidR="00535020" w:rsidRPr="00FE4812" w:rsidTr="00D5727C">
        <w:trPr>
          <w:trHeight w:val="595"/>
        </w:trPr>
        <w:tc>
          <w:tcPr>
            <w:tcW w:w="2127" w:type="dxa"/>
            <w:vMerge/>
            <w:vAlign w:val="center"/>
          </w:tcPr>
          <w:p w:rsidR="00535020" w:rsidRPr="00FE4812" w:rsidRDefault="00535020" w:rsidP="00FA354B">
            <w:pPr>
              <w:pStyle w:val="aff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  <w:vMerge w:val="restart"/>
            <w:vAlign w:val="center"/>
          </w:tcPr>
          <w:p w:rsidR="00535020" w:rsidRPr="00FE4812" w:rsidRDefault="00535020" w:rsidP="00FA354B">
            <w:pPr>
              <w:pStyle w:val="aff"/>
              <w:spacing w:before="120" w:after="12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FE4812">
              <w:rPr>
                <w:b/>
                <w:bCs/>
                <w:kern w:val="24"/>
                <w:sz w:val="22"/>
                <w:szCs w:val="22"/>
              </w:rPr>
              <w:t>По сделкам своп</w:t>
            </w:r>
          </w:p>
        </w:tc>
        <w:tc>
          <w:tcPr>
            <w:tcW w:w="5853" w:type="dxa"/>
            <w:gridSpan w:val="3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rPr>
                <w:bCs/>
                <w:kern w:val="24"/>
                <w:sz w:val="22"/>
                <w:szCs w:val="22"/>
              </w:rPr>
            </w:pPr>
            <w:r w:rsidRPr="00FE4812">
              <w:rPr>
                <w:bCs/>
                <w:kern w:val="24"/>
                <w:sz w:val="22"/>
                <w:szCs w:val="22"/>
              </w:rPr>
              <w:t>По своп контрактам со сроками исполнения обязательств по второй части своп контракта, отстоящими от даты исполнения обязательств по первой части соответствующего своп контракта, на:</w:t>
            </w:r>
          </w:p>
        </w:tc>
      </w:tr>
      <w:tr w:rsidR="00535020" w:rsidRPr="00FE4812" w:rsidTr="00D5727C">
        <w:trPr>
          <w:trHeight w:val="82"/>
        </w:trPr>
        <w:tc>
          <w:tcPr>
            <w:tcW w:w="2127" w:type="dxa"/>
            <w:vMerge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  <w:vMerge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FE4812">
              <w:rPr>
                <w:b/>
                <w:sz w:val="22"/>
                <w:szCs w:val="22"/>
              </w:rPr>
              <w:t>7 дней</w:t>
            </w:r>
          </w:p>
        </w:tc>
        <w:tc>
          <w:tcPr>
            <w:tcW w:w="2344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FE4812">
              <w:rPr>
                <w:b/>
                <w:bCs/>
                <w:kern w:val="24"/>
                <w:sz w:val="22"/>
                <w:szCs w:val="22"/>
              </w:rPr>
              <w:t>1 месяц</w:t>
            </w:r>
          </w:p>
        </w:tc>
        <w:tc>
          <w:tcPr>
            <w:tcW w:w="2336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FE4812">
              <w:rPr>
                <w:b/>
                <w:bCs/>
                <w:kern w:val="24"/>
                <w:sz w:val="22"/>
                <w:szCs w:val="22"/>
              </w:rPr>
              <w:t>6 месяцев</w:t>
            </w:r>
          </w:p>
        </w:tc>
      </w:tr>
      <w:tr w:rsidR="00535020" w:rsidRPr="00FE4812" w:rsidTr="00D5727C">
        <w:tc>
          <w:tcPr>
            <w:tcW w:w="2127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FE4812">
              <w:rPr>
                <w:color w:val="000000"/>
                <w:kern w:val="24"/>
                <w:sz w:val="22"/>
                <w:szCs w:val="22"/>
              </w:rPr>
              <w:t>Комиссионное вознаграждение за предоставление ИТС</w:t>
            </w:r>
          </w:p>
        </w:tc>
        <w:tc>
          <w:tcPr>
            <w:tcW w:w="2656" w:type="dxa"/>
            <w:gridSpan w:val="2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FE4812">
              <w:rPr>
                <w:color w:val="000000"/>
                <w:kern w:val="24"/>
                <w:sz w:val="22"/>
                <w:szCs w:val="22"/>
              </w:rPr>
              <w:t>0,0000750%</w:t>
            </w:r>
          </w:p>
        </w:tc>
        <w:tc>
          <w:tcPr>
            <w:tcW w:w="2344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FE4812">
              <w:rPr>
                <w:color w:val="000000"/>
                <w:kern w:val="24"/>
                <w:sz w:val="22"/>
                <w:szCs w:val="22"/>
              </w:rPr>
              <w:t>0,0003000%</w:t>
            </w:r>
          </w:p>
        </w:tc>
        <w:tc>
          <w:tcPr>
            <w:tcW w:w="2336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FE4812">
              <w:rPr>
                <w:color w:val="000000"/>
                <w:kern w:val="24"/>
                <w:sz w:val="22"/>
                <w:szCs w:val="22"/>
              </w:rPr>
              <w:t>0,0007500%</w:t>
            </w:r>
          </w:p>
        </w:tc>
      </w:tr>
    </w:tbl>
    <w:p w:rsidR="00845131" w:rsidRPr="00FE4812" w:rsidRDefault="00845131" w:rsidP="00535020">
      <w:pPr>
        <w:tabs>
          <w:tab w:val="left" w:pos="-1985"/>
          <w:tab w:val="left" w:pos="993"/>
        </w:tabs>
        <w:spacing w:before="120" w:after="120"/>
        <w:ind w:firstLine="284"/>
        <w:jc w:val="both"/>
        <w:rPr>
          <w:rFonts w:ascii="Times New Roman" w:hAnsi="Times New Roman" w:cs="Times New Roman"/>
          <w:bCs/>
        </w:rPr>
      </w:pPr>
    </w:p>
    <w:p w:rsidR="00535020" w:rsidRPr="00FE4812" w:rsidRDefault="00535020" w:rsidP="00535020">
      <w:pPr>
        <w:tabs>
          <w:tab w:val="left" w:pos="-1985"/>
          <w:tab w:val="left" w:pos="993"/>
        </w:tabs>
        <w:spacing w:before="120" w:after="120"/>
        <w:ind w:firstLine="284"/>
        <w:jc w:val="both"/>
        <w:rPr>
          <w:rFonts w:ascii="Times New Roman" w:hAnsi="Times New Roman" w:cs="Times New Roman"/>
          <w:bCs/>
        </w:rPr>
      </w:pPr>
      <w:r w:rsidRPr="00FE4812">
        <w:rPr>
          <w:rFonts w:ascii="Times New Roman" w:hAnsi="Times New Roman" w:cs="Times New Roman"/>
          <w:bCs/>
        </w:rPr>
        <w:t>Оборотная часть вознаграждения за предоставление ИТС рассчитывается для каждого Участника торгов по первым частям сделок своп/своп контрактов от объема каждой сделки по сопряженной валюте лота.</w:t>
      </w:r>
    </w:p>
    <w:p w:rsidR="00535020" w:rsidRPr="00FE4812" w:rsidRDefault="00535020" w:rsidP="00535020">
      <w:pPr>
        <w:numPr>
          <w:ilvl w:val="1"/>
          <w:numId w:val="29"/>
        </w:numPr>
        <w:tabs>
          <w:tab w:val="left" w:pos="-1985"/>
          <w:tab w:val="left" w:pos="993"/>
        </w:tabs>
        <w:spacing w:before="120" w:after="120" w:line="24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FE4812">
        <w:rPr>
          <w:rFonts w:ascii="Times New Roman" w:hAnsi="Times New Roman" w:cs="Times New Roman"/>
          <w:bCs/>
        </w:rPr>
        <w:lastRenderedPageBreak/>
        <w:t>При заключении поставочных фьючерсных контрактов оборотная часть вознаграждения за предоставление ИТС устанавливается в следующем размере в зависимости от срока исполнения обязательств по поставочному фьючерсу:</w:t>
      </w:r>
    </w:p>
    <w:p w:rsidR="00845131" w:rsidRPr="00FE4812" w:rsidRDefault="00845131" w:rsidP="00845131">
      <w:pPr>
        <w:tabs>
          <w:tab w:val="left" w:pos="-1985"/>
          <w:tab w:val="left" w:pos="993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134"/>
        <w:gridCol w:w="1275"/>
        <w:gridCol w:w="1276"/>
        <w:gridCol w:w="1276"/>
        <w:gridCol w:w="1276"/>
        <w:gridCol w:w="1134"/>
      </w:tblGrid>
      <w:tr w:rsidR="00535020" w:rsidRPr="00FE4812" w:rsidTr="003E34B3">
        <w:trPr>
          <w:trHeight w:val="613"/>
        </w:trPr>
        <w:tc>
          <w:tcPr>
            <w:tcW w:w="2127" w:type="dxa"/>
            <w:vMerge w:val="restart"/>
            <w:vAlign w:val="center"/>
          </w:tcPr>
          <w:p w:rsidR="00535020" w:rsidRPr="00FE4812" w:rsidRDefault="00535020" w:rsidP="00FA354B">
            <w:pPr>
              <w:pStyle w:val="aff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E4812">
              <w:rPr>
                <w:b/>
                <w:sz w:val="22"/>
                <w:szCs w:val="22"/>
              </w:rPr>
              <w:t>Вид вознаграждения</w:t>
            </w:r>
          </w:p>
        </w:tc>
        <w:tc>
          <w:tcPr>
            <w:tcW w:w="7371" w:type="dxa"/>
            <w:gridSpan w:val="6"/>
            <w:vAlign w:val="center"/>
          </w:tcPr>
          <w:p w:rsidR="00535020" w:rsidRPr="00FE4812" w:rsidRDefault="00535020" w:rsidP="00FA354B">
            <w:pPr>
              <w:pStyle w:val="aff"/>
              <w:spacing w:before="120" w:after="120" w:line="276" w:lineRule="auto"/>
              <w:ind w:left="115" w:right="115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FE4812">
              <w:rPr>
                <w:b/>
                <w:bCs/>
                <w:kern w:val="24"/>
                <w:sz w:val="22"/>
                <w:szCs w:val="22"/>
              </w:rPr>
              <w:t>Оборотная часть (размер вознаграждения за предоставление ИТС, взимаемого от объема каждой сделки в сопряженной валюте (%))</w:t>
            </w:r>
          </w:p>
        </w:tc>
      </w:tr>
      <w:tr w:rsidR="00535020" w:rsidRPr="00FE4812" w:rsidTr="003E34B3">
        <w:trPr>
          <w:trHeight w:val="551"/>
        </w:trPr>
        <w:tc>
          <w:tcPr>
            <w:tcW w:w="2127" w:type="dxa"/>
            <w:vMerge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 w:line="276" w:lineRule="auto"/>
              <w:ind w:left="115" w:right="115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FE4812">
              <w:rPr>
                <w:b/>
                <w:bCs/>
                <w:kern w:val="24"/>
                <w:sz w:val="22"/>
                <w:szCs w:val="22"/>
              </w:rPr>
              <w:t>Срок исполнения обязательств по поставочным фьючерсам:</w:t>
            </w:r>
          </w:p>
        </w:tc>
      </w:tr>
      <w:tr w:rsidR="00535020" w:rsidRPr="00FE4812" w:rsidTr="003E34B3">
        <w:trPr>
          <w:trHeight w:val="559"/>
        </w:trPr>
        <w:tc>
          <w:tcPr>
            <w:tcW w:w="2127" w:type="dxa"/>
            <w:vMerge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 w:line="276" w:lineRule="auto"/>
              <w:ind w:left="115" w:right="115"/>
              <w:jc w:val="center"/>
              <w:rPr>
                <w:b/>
                <w:sz w:val="22"/>
                <w:szCs w:val="22"/>
              </w:rPr>
            </w:pPr>
            <w:r w:rsidRPr="00FE4812">
              <w:rPr>
                <w:b/>
                <w:bCs/>
                <w:kern w:val="24"/>
                <w:sz w:val="22"/>
                <w:szCs w:val="22"/>
              </w:rPr>
              <w:t>2 дн. –</w:t>
            </w:r>
            <w:r w:rsidRPr="00FE4812">
              <w:rPr>
                <w:b/>
                <w:bCs/>
                <w:kern w:val="24"/>
                <w:sz w:val="22"/>
                <w:szCs w:val="22"/>
              </w:rPr>
              <w:br/>
              <w:t>6 дн.</w:t>
            </w:r>
            <w:r w:rsidRPr="00FE4812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FE4812">
              <w:rPr>
                <w:b/>
                <w:bCs/>
                <w:kern w:val="24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275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 w:line="276" w:lineRule="auto"/>
              <w:ind w:left="115" w:right="115"/>
              <w:jc w:val="center"/>
              <w:rPr>
                <w:b/>
                <w:sz w:val="22"/>
                <w:szCs w:val="22"/>
              </w:rPr>
            </w:pPr>
            <w:r w:rsidRPr="00FE4812">
              <w:rPr>
                <w:b/>
                <w:bCs/>
                <w:kern w:val="24"/>
                <w:sz w:val="22"/>
                <w:szCs w:val="22"/>
              </w:rPr>
              <w:t>7 дн. –</w:t>
            </w:r>
            <w:r w:rsidRPr="00FE4812">
              <w:rPr>
                <w:b/>
                <w:bCs/>
                <w:kern w:val="24"/>
                <w:sz w:val="22"/>
                <w:szCs w:val="22"/>
              </w:rPr>
              <w:br/>
              <w:t>29 дн.</w:t>
            </w:r>
          </w:p>
        </w:tc>
        <w:tc>
          <w:tcPr>
            <w:tcW w:w="1276" w:type="dxa"/>
            <w:vAlign w:val="center"/>
          </w:tcPr>
          <w:p w:rsidR="00535020" w:rsidRPr="00FE4812" w:rsidRDefault="00535020" w:rsidP="003E34B3">
            <w:pPr>
              <w:pStyle w:val="aff"/>
              <w:spacing w:before="120" w:beforeAutospacing="0" w:after="120" w:afterAutospacing="0" w:line="276" w:lineRule="auto"/>
              <w:ind w:left="115" w:right="115"/>
              <w:jc w:val="center"/>
              <w:rPr>
                <w:b/>
                <w:sz w:val="22"/>
                <w:szCs w:val="22"/>
              </w:rPr>
            </w:pPr>
            <w:r w:rsidRPr="00FE4812">
              <w:rPr>
                <w:b/>
                <w:bCs/>
                <w:kern w:val="24"/>
                <w:sz w:val="22"/>
                <w:szCs w:val="22"/>
              </w:rPr>
              <w:t>30 дн. –89</w:t>
            </w:r>
            <w:r w:rsidR="003E34B3" w:rsidRPr="00FE4812">
              <w:rPr>
                <w:b/>
                <w:bCs/>
                <w:kern w:val="24"/>
                <w:sz w:val="22"/>
                <w:szCs w:val="22"/>
              </w:rPr>
              <w:t> </w:t>
            </w:r>
            <w:r w:rsidRPr="00FE4812">
              <w:rPr>
                <w:b/>
                <w:bCs/>
                <w:kern w:val="24"/>
                <w:sz w:val="22"/>
                <w:szCs w:val="22"/>
              </w:rPr>
              <w:t>дн.</w:t>
            </w:r>
          </w:p>
        </w:tc>
        <w:tc>
          <w:tcPr>
            <w:tcW w:w="1276" w:type="dxa"/>
            <w:vAlign w:val="center"/>
          </w:tcPr>
          <w:p w:rsidR="00535020" w:rsidRPr="00FE4812" w:rsidRDefault="00535020" w:rsidP="003E34B3">
            <w:pPr>
              <w:pStyle w:val="aff"/>
              <w:spacing w:before="120" w:beforeAutospacing="0" w:after="120" w:afterAutospacing="0" w:line="276" w:lineRule="auto"/>
              <w:ind w:left="115" w:right="115"/>
              <w:jc w:val="center"/>
              <w:rPr>
                <w:b/>
                <w:sz w:val="22"/>
                <w:szCs w:val="22"/>
              </w:rPr>
            </w:pPr>
            <w:r w:rsidRPr="00FE4812">
              <w:rPr>
                <w:b/>
                <w:bCs/>
                <w:kern w:val="24"/>
                <w:sz w:val="22"/>
                <w:szCs w:val="22"/>
              </w:rPr>
              <w:t>90 дн. –179</w:t>
            </w:r>
            <w:r w:rsidR="003E34B3" w:rsidRPr="00FE4812">
              <w:rPr>
                <w:b/>
                <w:bCs/>
                <w:kern w:val="24"/>
                <w:sz w:val="22"/>
                <w:szCs w:val="22"/>
              </w:rPr>
              <w:t> </w:t>
            </w:r>
            <w:r w:rsidRPr="00FE4812">
              <w:rPr>
                <w:b/>
                <w:bCs/>
                <w:kern w:val="24"/>
                <w:sz w:val="22"/>
                <w:szCs w:val="22"/>
              </w:rPr>
              <w:t>дн.</w:t>
            </w:r>
          </w:p>
        </w:tc>
        <w:tc>
          <w:tcPr>
            <w:tcW w:w="1276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 w:line="276" w:lineRule="auto"/>
              <w:ind w:left="115" w:right="115"/>
              <w:jc w:val="center"/>
              <w:rPr>
                <w:b/>
                <w:sz w:val="22"/>
                <w:szCs w:val="22"/>
              </w:rPr>
            </w:pPr>
            <w:r w:rsidRPr="00FE4812">
              <w:rPr>
                <w:b/>
                <w:bCs/>
                <w:kern w:val="24"/>
                <w:sz w:val="22"/>
                <w:szCs w:val="22"/>
              </w:rPr>
              <w:t>180 дн. –269 дн.</w:t>
            </w:r>
          </w:p>
        </w:tc>
        <w:tc>
          <w:tcPr>
            <w:tcW w:w="1134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 w:line="276" w:lineRule="auto"/>
              <w:ind w:left="115" w:right="115"/>
              <w:jc w:val="center"/>
              <w:rPr>
                <w:b/>
                <w:sz w:val="22"/>
                <w:szCs w:val="22"/>
              </w:rPr>
            </w:pPr>
            <w:r w:rsidRPr="00FE4812">
              <w:rPr>
                <w:b/>
                <w:bCs/>
                <w:kern w:val="24"/>
                <w:sz w:val="22"/>
                <w:szCs w:val="22"/>
              </w:rPr>
              <w:t>270 дн. –364 дн.</w:t>
            </w:r>
          </w:p>
        </w:tc>
      </w:tr>
      <w:tr w:rsidR="00535020" w:rsidRPr="00FE4812" w:rsidTr="003E34B3">
        <w:trPr>
          <w:trHeight w:val="597"/>
        </w:trPr>
        <w:tc>
          <w:tcPr>
            <w:tcW w:w="2127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FE4812">
              <w:rPr>
                <w:kern w:val="24"/>
                <w:sz w:val="22"/>
                <w:szCs w:val="22"/>
              </w:rPr>
              <w:t>Комиссионное вознаграждение за предоставление ИТС</w:t>
            </w:r>
          </w:p>
        </w:tc>
        <w:tc>
          <w:tcPr>
            <w:tcW w:w="1134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 w:line="276" w:lineRule="auto"/>
              <w:jc w:val="center"/>
              <w:rPr>
                <w:sz w:val="22"/>
                <w:szCs w:val="22"/>
              </w:rPr>
            </w:pPr>
            <w:r w:rsidRPr="00FE4812">
              <w:rPr>
                <w:color w:val="000000"/>
                <w:kern w:val="24"/>
                <w:sz w:val="22"/>
                <w:szCs w:val="22"/>
              </w:rPr>
              <w:t>0,00</w:t>
            </w:r>
            <w:r w:rsidRPr="00FE4812">
              <w:rPr>
                <w:color w:val="000000"/>
                <w:kern w:val="24"/>
                <w:sz w:val="22"/>
                <w:szCs w:val="22"/>
                <w:lang w:val="en-US"/>
              </w:rPr>
              <w:t>075</w:t>
            </w:r>
            <w:r w:rsidRPr="00FE4812">
              <w:rPr>
                <w:color w:val="000000"/>
                <w:kern w:val="24"/>
                <w:sz w:val="22"/>
                <w:szCs w:val="22"/>
              </w:rPr>
              <w:t>0%</w:t>
            </w:r>
          </w:p>
        </w:tc>
        <w:tc>
          <w:tcPr>
            <w:tcW w:w="1275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 w:line="276" w:lineRule="auto"/>
              <w:jc w:val="center"/>
              <w:rPr>
                <w:sz w:val="22"/>
                <w:szCs w:val="22"/>
              </w:rPr>
            </w:pPr>
            <w:r w:rsidRPr="00FE4812">
              <w:rPr>
                <w:color w:val="000000"/>
                <w:kern w:val="24"/>
                <w:sz w:val="22"/>
                <w:szCs w:val="22"/>
              </w:rPr>
              <w:t>0,00</w:t>
            </w:r>
            <w:r w:rsidRPr="00FE4812">
              <w:rPr>
                <w:color w:val="000000"/>
                <w:kern w:val="24"/>
                <w:sz w:val="22"/>
                <w:szCs w:val="22"/>
                <w:lang w:val="en-US"/>
              </w:rPr>
              <w:t>150</w:t>
            </w:r>
            <w:r w:rsidRPr="00FE4812">
              <w:rPr>
                <w:color w:val="000000"/>
                <w:kern w:val="24"/>
                <w:sz w:val="22"/>
                <w:szCs w:val="22"/>
              </w:rPr>
              <w:t>0%</w:t>
            </w:r>
          </w:p>
        </w:tc>
        <w:tc>
          <w:tcPr>
            <w:tcW w:w="1276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 w:line="276" w:lineRule="auto"/>
              <w:jc w:val="center"/>
              <w:rPr>
                <w:sz w:val="22"/>
                <w:szCs w:val="22"/>
              </w:rPr>
            </w:pPr>
            <w:r w:rsidRPr="00FE4812">
              <w:rPr>
                <w:color w:val="000000"/>
                <w:kern w:val="24"/>
                <w:sz w:val="22"/>
                <w:szCs w:val="22"/>
              </w:rPr>
              <w:t>0,00</w:t>
            </w:r>
            <w:r w:rsidRPr="00FE4812">
              <w:rPr>
                <w:color w:val="000000"/>
                <w:kern w:val="24"/>
                <w:sz w:val="22"/>
                <w:szCs w:val="22"/>
                <w:lang w:val="en-US"/>
              </w:rPr>
              <w:t>300</w:t>
            </w:r>
            <w:r w:rsidRPr="00FE4812">
              <w:rPr>
                <w:color w:val="000000"/>
                <w:kern w:val="24"/>
                <w:sz w:val="22"/>
                <w:szCs w:val="22"/>
              </w:rPr>
              <w:t>0%</w:t>
            </w:r>
          </w:p>
        </w:tc>
        <w:tc>
          <w:tcPr>
            <w:tcW w:w="1276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 w:line="276" w:lineRule="auto"/>
              <w:jc w:val="center"/>
              <w:rPr>
                <w:sz w:val="22"/>
                <w:szCs w:val="22"/>
              </w:rPr>
            </w:pPr>
            <w:r w:rsidRPr="00FE4812">
              <w:rPr>
                <w:color w:val="000000"/>
                <w:kern w:val="24"/>
                <w:sz w:val="22"/>
                <w:szCs w:val="22"/>
              </w:rPr>
              <w:t>0,00</w:t>
            </w:r>
            <w:r w:rsidRPr="00FE4812">
              <w:rPr>
                <w:color w:val="000000"/>
                <w:kern w:val="24"/>
                <w:sz w:val="22"/>
                <w:szCs w:val="22"/>
                <w:lang w:val="en-US"/>
              </w:rPr>
              <w:t>450</w:t>
            </w:r>
            <w:r w:rsidRPr="00FE4812">
              <w:rPr>
                <w:color w:val="000000"/>
                <w:kern w:val="24"/>
                <w:sz w:val="22"/>
                <w:szCs w:val="22"/>
              </w:rPr>
              <w:t>0%</w:t>
            </w:r>
          </w:p>
        </w:tc>
        <w:tc>
          <w:tcPr>
            <w:tcW w:w="1276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 w:line="276" w:lineRule="auto"/>
              <w:jc w:val="center"/>
              <w:rPr>
                <w:sz w:val="22"/>
                <w:szCs w:val="22"/>
              </w:rPr>
            </w:pPr>
            <w:r w:rsidRPr="00FE4812">
              <w:rPr>
                <w:color w:val="000000"/>
                <w:kern w:val="24"/>
                <w:sz w:val="22"/>
                <w:szCs w:val="22"/>
              </w:rPr>
              <w:t>0,0</w:t>
            </w:r>
            <w:r w:rsidRPr="00FE4812">
              <w:rPr>
                <w:color w:val="000000"/>
                <w:kern w:val="24"/>
                <w:sz w:val="22"/>
                <w:szCs w:val="22"/>
                <w:lang w:val="en-US"/>
              </w:rPr>
              <w:t>0750</w:t>
            </w:r>
            <w:r w:rsidRPr="00FE4812">
              <w:rPr>
                <w:color w:val="000000"/>
                <w:kern w:val="24"/>
                <w:sz w:val="22"/>
                <w:szCs w:val="22"/>
              </w:rPr>
              <w:t>0%</w:t>
            </w:r>
          </w:p>
        </w:tc>
        <w:tc>
          <w:tcPr>
            <w:tcW w:w="1134" w:type="dxa"/>
            <w:vAlign w:val="center"/>
          </w:tcPr>
          <w:p w:rsidR="00535020" w:rsidRPr="00FE4812" w:rsidRDefault="00535020" w:rsidP="00FA354B">
            <w:pPr>
              <w:pStyle w:val="aff"/>
              <w:spacing w:before="120" w:beforeAutospacing="0" w:after="120" w:afterAutospacing="0" w:line="276" w:lineRule="auto"/>
              <w:jc w:val="center"/>
              <w:rPr>
                <w:sz w:val="22"/>
                <w:szCs w:val="22"/>
              </w:rPr>
            </w:pPr>
            <w:r w:rsidRPr="00FE4812">
              <w:rPr>
                <w:color w:val="000000"/>
                <w:kern w:val="24"/>
                <w:sz w:val="22"/>
                <w:szCs w:val="22"/>
              </w:rPr>
              <w:t>0,011250%</w:t>
            </w:r>
          </w:p>
        </w:tc>
      </w:tr>
    </w:tbl>
    <w:p w:rsidR="00845131" w:rsidRPr="00FE4812" w:rsidRDefault="00845131" w:rsidP="00845131">
      <w:pPr>
        <w:tabs>
          <w:tab w:val="left" w:pos="-1985"/>
          <w:tab w:val="left" w:pos="993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bCs/>
        </w:rPr>
      </w:pPr>
    </w:p>
    <w:p w:rsidR="00535020" w:rsidRPr="00FE4812" w:rsidRDefault="00535020" w:rsidP="00535020">
      <w:pPr>
        <w:numPr>
          <w:ilvl w:val="1"/>
          <w:numId w:val="29"/>
        </w:numPr>
        <w:tabs>
          <w:tab w:val="left" w:pos="-1985"/>
          <w:tab w:val="left" w:pos="993"/>
        </w:tabs>
        <w:spacing w:before="120" w:after="120" w:line="24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FE4812">
        <w:rPr>
          <w:rFonts w:ascii="Times New Roman" w:hAnsi="Times New Roman" w:cs="Times New Roman"/>
          <w:bCs/>
        </w:rPr>
        <w:t>При заключении Участником торгов – пользователем ПТК ТЦ сделок с драгоценными металлами на организованных торгах устанавливается минимальная ставка оборотной части вознаграждения ПАО Московская Биржа за предоставление ИТС в размере 0,15 российских рублей за одну сделку.</w:t>
      </w:r>
    </w:p>
    <w:p w:rsidR="00535020" w:rsidRPr="00FE4812" w:rsidRDefault="00535020" w:rsidP="00535020">
      <w:pPr>
        <w:numPr>
          <w:ilvl w:val="1"/>
          <w:numId w:val="29"/>
        </w:numPr>
        <w:tabs>
          <w:tab w:val="left" w:pos="-1985"/>
          <w:tab w:val="left" w:pos="993"/>
        </w:tabs>
        <w:spacing w:before="120" w:after="120" w:line="24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FE4812">
        <w:rPr>
          <w:rFonts w:ascii="Times New Roman" w:hAnsi="Times New Roman" w:cs="Times New Roman"/>
          <w:bCs/>
        </w:rPr>
        <w:t>Фиксированная часть вознаграждения за предоставление ИТС при заключении Участником торгов сделок с драгоценными металлами, за исключением Участников торгов, являющихся центральными (национальными) банками государств, подписавших Соглашение о сотрудничестве в области организации интегрированного валютного рынка государств-членов Евразийского экономического сообщества, и/или государств-членов Евразийского экономического союза, составляет 5 000 российских рублей в месяц, которая рассчитывается ежемесячно</w:t>
      </w:r>
      <w:r w:rsidR="007F3C2E" w:rsidRPr="00FE4812">
        <w:rPr>
          <w:rFonts w:ascii="Times New Roman" w:hAnsi="Times New Roman" w:cs="Times New Roman"/>
        </w:rPr>
        <w:t xml:space="preserve"> взимается, по регистрационному коду</w:t>
      </w:r>
      <w:r w:rsidRPr="00FE4812">
        <w:rPr>
          <w:rFonts w:ascii="Times New Roman" w:hAnsi="Times New Roman" w:cs="Times New Roman"/>
          <w:bCs/>
        </w:rPr>
        <w:t xml:space="preserve"> и уплачивается Участником торгов при одновременном соблюдении следующих условий:</w:t>
      </w:r>
    </w:p>
    <w:p w:rsidR="00535020" w:rsidRPr="00FE4812" w:rsidRDefault="00535020" w:rsidP="00535020">
      <w:pPr>
        <w:tabs>
          <w:tab w:val="left" w:pos="-1985"/>
          <w:tab w:val="left" w:pos="993"/>
        </w:tabs>
        <w:spacing w:before="120" w:after="120"/>
        <w:ind w:firstLine="284"/>
        <w:jc w:val="both"/>
        <w:rPr>
          <w:rFonts w:ascii="Times New Roman" w:hAnsi="Times New Roman" w:cs="Times New Roman"/>
          <w:bCs/>
        </w:rPr>
      </w:pPr>
      <w:r w:rsidRPr="00FE4812">
        <w:rPr>
          <w:rFonts w:ascii="Times New Roman" w:hAnsi="Times New Roman" w:cs="Times New Roman"/>
          <w:bCs/>
        </w:rPr>
        <w:t>- в течение месяца Участником торгов было подано не менее одной заявки на заключение сделки с драгоценными металлами посредством системы передачи информации Рейтер/Блумберг;</w:t>
      </w:r>
    </w:p>
    <w:p w:rsidR="00535020" w:rsidRPr="00FE4812" w:rsidRDefault="00535020" w:rsidP="00535020">
      <w:pPr>
        <w:tabs>
          <w:tab w:val="left" w:pos="-1985"/>
          <w:tab w:val="left" w:pos="993"/>
        </w:tabs>
        <w:spacing w:before="120" w:after="120"/>
        <w:ind w:firstLine="284"/>
        <w:jc w:val="both"/>
        <w:rPr>
          <w:rFonts w:ascii="Times New Roman" w:hAnsi="Times New Roman" w:cs="Times New Roman"/>
          <w:bCs/>
        </w:rPr>
      </w:pPr>
      <w:r w:rsidRPr="00FE4812">
        <w:rPr>
          <w:rFonts w:ascii="Times New Roman" w:hAnsi="Times New Roman" w:cs="Times New Roman"/>
          <w:bCs/>
        </w:rPr>
        <w:t>- фиксированная часть вознаграждения за предоставление ИТС при заключении Участником торгов сделок с иностранной валютой на организованных торгах, рассчитанная за данный месяц, равна нулю.</w:t>
      </w:r>
    </w:p>
    <w:p w:rsidR="00535020" w:rsidRPr="00FE4812" w:rsidRDefault="00535020" w:rsidP="00535020">
      <w:pPr>
        <w:numPr>
          <w:ilvl w:val="1"/>
          <w:numId w:val="29"/>
        </w:numPr>
        <w:tabs>
          <w:tab w:val="left" w:pos="-1985"/>
          <w:tab w:val="left" w:pos="993"/>
        </w:tabs>
        <w:spacing w:before="120" w:after="120" w:line="24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FE4812">
        <w:rPr>
          <w:rFonts w:ascii="Times New Roman" w:hAnsi="Times New Roman" w:cs="Times New Roman"/>
          <w:bCs/>
        </w:rPr>
        <w:t>Вознаграждение за предоставление ИТС при совершении Участником торгов сделок с драгоценными металлами уплачивается Участником торгов в соответствии с Правилами торгов в российских рублях в следующем порядке:</w:t>
      </w:r>
    </w:p>
    <w:p w:rsidR="00535020" w:rsidRPr="00FE4812" w:rsidRDefault="00535020" w:rsidP="00535020">
      <w:pPr>
        <w:numPr>
          <w:ilvl w:val="2"/>
          <w:numId w:val="29"/>
        </w:numPr>
        <w:tabs>
          <w:tab w:val="left" w:pos="-1985"/>
          <w:tab w:val="left" w:pos="993"/>
        </w:tabs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bCs/>
        </w:rPr>
      </w:pPr>
      <w:r w:rsidRPr="00FE4812">
        <w:rPr>
          <w:rFonts w:ascii="Times New Roman" w:hAnsi="Times New Roman" w:cs="Times New Roman"/>
          <w:bCs/>
        </w:rPr>
        <w:t>оборотная часть вознаграждения за предоставление ИТС, в размере, установленном в подпунктах 2.1, 2.2 и 2.3 пункта 2 настоящих Тарифов, и вознаграждение за предоставление ИТС, взимаемое из расчета минимальной ставки оборотной части вознаграждения за предоставление ИТС, установленной в подпункте 2.4 пункта 2 настоящих Тарифов, в день заключения сделки удерживается Банком НКЦ (АО) с расчетного кода соответствующего Участника клиринга и перечисляется ПАО Московская Биржа;</w:t>
      </w:r>
    </w:p>
    <w:p w:rsidR="00535020" w:rsidRPr="00FE4812" w:rsidRDefault="00535020" w:rsidP="00535020">
      <w:pPr>
        <w:numPr>
          <w:ilvl w:val="2"/>
          <w:numId w:val="29"/>
        </w:numPr>
        <w:tabs>
          <w:tab w:val="left" w:pos="-1985"/>
          <w:tab w:val="left" w:pos="993"/>
        </w:tabs>
        <w:spacing w:after="120" w:line="240" w:lineRule="auto"/>
        <w:ind w:left="284" w:firstLine="0"/>
        <w:jc w:val="both"/>
        <w:rPr>
          <w:rFonts w:ascii="Times New Roman" w:hAnsi="Times New Roman" w:cs="Times New Roman"/>
          <w:bCs/>
        </w:rPr>
      </w:pPr>
      <w:r w:rsidRPr="00FE4812">
        <w:rPr>
          <w:rFonts w:ascii="Times New Roman" w:hAnsi="Times New Roman" w:cs="Times New Roman"/>
          <w:bCs/>
        </w:rPr>
        <w:t>фиксированная часть вознаграждения за предоставление ИТС, установленная в соответствии с подпунктом 2.5 пункта 2 настоящих Тарифов, удерживается Банком НКЦ (АО) с расчетного кода соответствующего Участника клиринга в первый рабочий день календарного месяца, следующего за месяцем фактического оказания услуг по предоставлению ИТС, и перечисляется ПАО Московская Биржа.</w:t>
      </w:r>
    </w:p>
    <w:p w:rsidR="00535020" w:rsidRPr="00FE4812" w:rsidRDefault="00535020" w:rsidP="00535020">
      <w:pPr>
        <w:numPr>
          <w:ilvl w:val="0"/>
          <w:numId w:val="29"/>
        </w:numPr>
        <w:tabs>
          <w:tab w:val="left" w:pos="993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FE4812">
        <w:rPr>
          <w:rFonts w:ascii="Times New Roman" w:hAnsi="Times New Roman" w:cs="Times New Roman"/>
          <w:bCs/>
        </w:rPr>
        <w:t>Банк НКЦ (АО) в соответствии с Правилами клиринга удерживает все виды комиссионного вознаграждения, подлежащие уплате Участником торгов и перечисленные в пунктах 1 и 2 настоящих Тарифов, с расчетного кода Участника клиринга, указываемого Участником торгов в заявках на заключение сделок с драгоценными металлами.</w:t>
      </w:r>
    </w:p>
    <w:p w:rsidR="00535020" w:rsidRPr="00FE4812" w:rsidRDefault="00535020" w:rsidP="00535020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  <w:bCs/>
        </w:rPr>
      </w:pPr>
      <w:r w:rsidRPr="00FE4812">
        <w:rPr>
          <w:rFonts w:ascii="Times New Roman" w:hAnsi="Times New Roman" w:cs="Times New Roman"/>
          <w:bCs/>
        </w:rPr>
        <w:lastRenderedPageBreak/>
        <w:t>При этом фиксированная часть вознаграждения за предоставление ИТС, установленная подпунктом 2.5 пункта 2 настоящих Тарифов, в случае удержания ее с расчетного кода Участника клиринга, являющегося клиринговым брокером, удерживается Банком НКЦ (АО) с расчетного кода Участника клиринга, являющегося клиринговым брокером, указавшего в соответствующем заявлении, что фиксированная часть вознаграждения за предоставление ИТС за такого Участника торгов должна удерживаться с указанного расчетного кода.</w:t>
      </w:r>
    </w:p>
    <w:p w:rsidR="00535020" w:rsidRPr="00FE4812" w:rsidRDefault="00535020" w:rsidP="00535020">
      <w:pPr>
        <w:numPr>
          <w:ilvl w:val="0"/>
          <w:numId w:val="29"/>
        </w:numPr>
        <w:tabs>
          <w:tab w:val="left" w:pos="993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FE4812">
        <w:rPr>
          <w:rFonts w:ascii="Times New Roman" w:hAnsi="Times New Roman" w:cs="Times New Roman"/>
          <w:bCs/>
        </w:rPr>
        <w:t>Действие подпункта 2.6.2 пункта 2 настоящих Тарифов не распространяется на Участников торгов – кредитные организации, у которых Банком России отозвана (аннулирована) лицензия на осуществление банковских операций, и Участников торгов – некредитные организации в случае введения в отношении Участника торгов – некредитной организации одной из процедур банкротства в месяц, за который взимается вознаграждение, предусмотренное подпунктом 2.5 пункта 2 настоящих Тарифов.</w:t>
      </w:r>
    </w:p>
    <w:p w:rsidR="00F727B9" w:rsidRPr="00FE4812" w:rsidRDefault="00F727B9" w:rsidP="00F727B9">
      <w:pPr>
        <w:numPr>
          <w:ilvl w:val="0"/>
          <w:numId w:val="29"/>
        </w:numPr>
        <w:tabs>
          <w:tab w:val="left" w:pos="993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FE4812">
        <w:rPr>
          <w:rFonts w:ascii="Times New Roman" w:hAnsi="Times New Roman" w:cs="Times New Roman"/>
          <w:bCs/>
        </w:rPr>
        <w:t>Настоящие Тарифы не включают налог на добавленную стоимость. Налог на добавленную стоимость взимается дополнительно в случаях, предусмотренных законодательством Российской Федерации.</w:t>
      </w:r>
    </w:p>
    <w:p w:rsidR="003777F0" w:rsidRPr="00FE4812" w:rsidRDefault="003777F0" w:rsidP="009849B3">
      <w:pPr>
        <w:pStyle w:val="Default"/>
      </w:pPr>
    </w:p>
    <w:sectPr w:rsidR="003777F0" w:rsidRPr="00FE4812" w:rsidSect="00CB0FF7">
      <w:footerReference w:type="default" r:id="rId8"/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420" w:rsidRDefault="00374420" w:rsidP="00630839">
      <w:pPr>
        <w:spacing w:after="0" w:line="240" w:lineRule="auto"/>
      </w:pPr>
      <w:r>
        <w:separator/>
      </w:r>
    </w:p>
  </w:endnote>
  <w:endnote w:type="continuationSeparator" w:id="0">
    <w:p w:rsidR="00374420" w:rsidRDefault="00374420" w:rsidP="0063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757032"/>
      <w:docPartObj>
        <w:docPartGallery w:val="Page Numbers (Bottom of Page)"/>
        <w:docPartUnique/>
      </w:docPartObj>
    </w:sdtPr>
    <w:sdtContent>
      <w:p w:rsidR="00374420" w:rsidRDefault="000763A4" w:rsidP="00FE4812">
        <w:pPr>
          <w:pStyle w:val="af1"/>
          <w:jc w:val="right"/>
        </w:pPr>
        <w:fldSimple w:instr=" PAGE   \* MERGEFORMAT ">
          <w:r w:rsidR="009849B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420" w:rsidRDefault="00374420" w:rsidP="00630839">
      <w:pPr>
        <w:spacing w:after="0" w:line="240" w:lineRule="auto"/>
      </w:pPr>
      <w:r>
        <w:separator/>
      </w:r>
    </w:p>
  </w:footnote>
  <w:footnote w:type="continuationSeparator" w:id="0">
    <w:p w:rsidR="00374420" w:rsidRDefault="00374420" w:rsidP="00630839">
      <w:pPr>
        <w:spacing w:after="0" w:line="240" w:lineRule="auto"/>
      </w:pPr>
      <w:r>
        <w:continuationSeparator/>
      </w:r>
    </w:p>
  </w:footnote>
  <w:footnote w:id="1">
    <w:p w:rsidR="00374420" w:rsidRPr="00E87174" w:rsidRDefault="00374420" w:rsidP="00535020">
      <w:pPr>
        <w:pStyle w:val="aa"/>
      </w:pPr>
      <w:r w:rsidRPr="00E87174">
        <w:rPr>
          <w:rStyle w:val="ac"/>
        </w:rPr>
        <w:footnoteRef/>
      </w:r>
      <w:r w:rsidRPr="00E87174">
        <w:t xml:space="preserve"> Здесь и далее в подпункте 1.3 пункта 1 настоящих Тарифов под «днями» понимаются календарные дни.</w:t>
      </w:r>
    </w:p>
  </w:footnote>
  <w:footnote w:id="2">
    <w:p w:rsidR="00374420" w:rsidRPr="00E87174" w:rsidRDefault="00374420" w:rsidP="00535020">
      <w:pPr>
        <w:pStyle w:val="aa"/>
      </w:pPr>
      <w:r w:rsidRPr="00E87174">
        <w:rPr>
          <w:rStyle w:val="ac"/>
        </w:rPr>
        <w:footnoteRef/>
      </w:r>
      <w:r w:rsidRPr="00E87174">
        <w:t xml:space="preserve"> Здесь и далее в подпункте 2.3 пункта 1 настоящих Тарифов под «днями» понимаются календарные дни.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4BC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662B76"/>
    <w:multiLevelType w:val="hybridMultilevel"/>
    <w:tmpl w:val="AFE428F2"/>
    <w:lvl w:ilvl="0" w:tplc="397E1A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B100ACC"/>
    <w:multiLevelType w:val="multilevel"/>
    <w:tmpl w:val="B608E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C9B5767"/>
    <w:multiLevelType w:val="multilevel"/>
    <w:tmpl w:val="8BF6E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516AFA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EC0028"/>
    <w:multiLevelType w:val="hybridMultilevel"/>
    <w:tmpl w:val="680E6B8E"/>
    <w:lvl w:ilvl="0" w:tplc="C4601E8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6880EE0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23ABF18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04EED1C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9A41698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66683A8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382F120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B6A6310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5389096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16783A95"/>
    <w:multiLevelType w:val="hybridMultilevel"/>
    <w:tmpl w:val="33F00B0E"/>
    <w:lvl w:ilvl="0" w:tplc="DD7A0C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FA81AFE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AB5306"/>
    <w:multiLevelType w:val="multilevel"/>
    <w:tmpl w:val="94947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8C1513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9"/>
        </w:tabs>
        <w:ind w:left="67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>
    <w:nsid w:val="2AA40528"/>
    <w:multiLevelType w:val="hybridMultilevel"/>
    <w:tmpl w:val="AFE428F2"/>
    <w:lvl w:ilvl="0" w:tplc="397E1A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2B3011DC"/>
    <w:multiLevelType w:val="hybridMultilevel"/>
    <w:tmpl w:val="CEC0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C761B2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39F35373"/>
    <w:multiLevelType w:val="multilevel"/>
    <w:tmpl w:val="56488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4A5129"/>
    <w:multiLevelType w:val="multilevel"/>
    <w:tmpl w:val="B9EC3982"/>
    <w:lvl w:ilvl="0">
      <w:start w:val="1"/>
      <w:numFmt w:val="upperRoman"/>
      <w:lvlText w:val="РАЗДЕЛ %1."/>
      <w:lvlJc w:val="left"/>
      <w:pPr>
        <w:tabs>
          <w:tab w:val="num" w:pos="3687"/>
        </w:tabs>
        <w:ind w:left="3687" w:hanging="1418"/>
      </w:pPr>
      <w:rPr>
        <w:rFonts w:hint="default"/>
      </w:rPr>
    </w:lvl>
    <w:lvl w:ilvl="1">
      <w:start w:val="1"/>
      <w:numFmt w:val="upperRoman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Point3"/>
      <w:lvlText w:val="Статья %3."/>
      <w:lvlJc w:val="left"/>
      <w:pPr>
        <w:tabs>
          <w:tab w:val="num" w:pos="1844"/>
        </w:tabs>
        <w:ind w:left="1844" w:hanging="1418"/>
      </w:pPr>
      <w:rPr>
        <w:rFonts w:hint="default"/>
        <w:sz w:val="24"/>
      </w:rPr>
    </w:lvl>
    <w:lvl w:ilvl="3">
      <w:start w:val="1"/>
      <w:numFmt w:val="decimal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5">
    <w:nsid w:val="3D9E2939"/>
    <w:multiLevelType w:val="multilevel"/>
    <w:tmpl w:val="0419001F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0CF138C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3A5BCF"/>
    <w:multiLevelType w:val="multilevel"/>
    <w:tmpl w:val="A7AAC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E61569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285732"/>
    <w:multiLevelType w:val="hybridMultilevel"/>
    <w:tmpl w:val="1102E37E"/>
    <w:lvl w:ilvl="0" w:tplc="7DFA6B5C">
      <w:numFmt w:val="bullet"/>
      <w:lvlText w:val="-"/>
      <w:lvlJc w:val="left"/>
      <w:pPr>
        <w:ind w:left="1128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>
    <w:nsid w:val="4C674588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59"/>
        </w:tabs>
        <w:ind w:left="175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>
    <w:nsid w:val="4D376980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2">
    <w:nsid w:val="51BA0694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A269EE"/>
    <w:multiLevelType w:val="multilevel"/>
    <w:tmpl w:val="451E0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511C47"/>
    <w:multiLevelType w:val="hybridMultilevel"/>
    <w:tmpl w:val="CD96B364"/>
    <w:lvl w:ilvl="0" w:tplc="7BA02A36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5533593C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7915F2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950A84"/>
    <w:multiLevelType w:val="multilevel"/>
    <w:tmpl w:val="3E0CD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D15D32"/>
    <w:multiLevelType w:val="hybridMultilevel"/>
    <w:tmpl w:val="52C814AC"/>
    <w:lvl w:ilvl="0" w:tplc="9F9A7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6E6140AD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>
    <w:nsid w:val="752B5396"/>
    <w:multiLevelType w:val="hybridMultilevel"/>
    <w:tmpl w:val="DDEC44CE"/>
    <w:lvl w:ilvl="0" w:tplc="8D4C1674">
      <w:start w:val="1"/>
      <w:numFmt w:val="bullet"/>
      <w:lvlText w:val="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1" w:tplc="8D4C167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3"/>
  </w:num>
  <w:num w:numId="4">
    <w:abstractNumId w:val="13"/>
  </w:num>
  <w:num w:numId="5">
    <w:abstractNumId w:val="8"/>
  </w:num>
  <w:num w:numId="6">
    <w:abstractNumId w:val="19"/>
  </w:num>
  <w:num w:numId="7">
    <w:abstractNumId w:val="15"/>
  </w:num>
  <w:num w:numId="8">
    <w:abstractNumId w:val="24"/>
  </w:num>
  <w:num w:numId="9">
    <w:abstractNumId w:val="5"/>
  </w:num>
  <w:num w:numId="10">
    <w:abstractNumId w:val="29"/>
  </w:num>
  <w:num w:numId="11">
    <w:abstractNumId w:val="10"/>
  </w:num>
  <w:num w:numId="12">
    <w:abstractNumId w:val="0"/>
  </w:num>
  <w:num w:numId="13">
    <w:abstractNumId w:val="14"/>
  </w:num>
  <w:num w:numId="14">
    <w:abstractNumId w:val="6"/>
  </w:num>
  <w:num w:numId="15">
    <w:abstractNumId w:val="31"/>
  </w:num>
  <w:num w:numId="16">
    <w:abstractNumId w:val="20"/>
  </w:num>
  <w:num w:numId="17">
    <w:abstractNumId w:val="26"/>
  </w:num>
  <w:num w:numId="18">
    <w:abstractNumId w:val="18"/>
  </w:num>
  <w:num w:numId="19">
    <w:abstractNumId w:val="16"/>
  </w:num>
  <w:num w:numId="20">
    <w:abstractNumId w:val="25"/>
  </w:num>
  <w:num w:numId="21">
    <w:abstractNumId w:val="4"/>
  </w:num>
  <w:num w:numId="22">
    <w:abstractNumId w:val="22"/>
  </w:num>
  <w:num w:numId="23">
    <w:abstractNumId w:val="7"/>
  </w:num>
  <w:num w:numId="24">
    <w:abstractNumId w:val="9"/>
  </w:num>
  <w:num w:numId="25">
    <w:abstractNumId w:val="30"/>
  </w:num>
  <w:num w:numId="26">
    <w:abstractNumId w:val="2"/>
  </w:num>
  <w:num w:numId="27">
    <w:abstractNumId w:val="1"/>
  </w:num>
  <w:num w:numId="28">
    <w:abstractNumId w:val="12"/>
  </w:num>
  <w:num w:numId="29">
    <w:abstractNumId w:val="17"/>
  </w:num>
  <w:num w:numId="30">
    <w:abstractNumId w:val="11"/>
  </w:num>
  <w:num w:numId="31">
    <w:abstractNumId w:val="21"/>
  </w:num>
  <w:num w:numId="32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есропова Дарья Викторовна">
    <w15:presenceInfo w15:providerId="AD" w15:userId="S-1-5-21-2110615740-823941886-1632782223-15401"/>
  </w15:person>
  <w15:person w15:author="Кадырова Ирина Тимуровна">
    <w15:presenceInfo w15:providerId="AD" w15:userId="S-1-5-21-2110615740-823941886-1632782223-1480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3A44"/>
    <w:rsid w:val="000010FE"/>
    <w:rsid w:val="00006086"/>
    <w:rsid w:val="00007599"/>
    <w:rsid w:val="000118FE"/>
    <w:rsid w:val="00013D76"/>
    <w:rsid w:val="00022020"/>
    <w:rsid w:val="00024470"/>
    <w:rsid w:val="000244AC"/>
    <w:rsid w:val="00024F42"/>
    <w:rsid w:val="000257E7"/>
    <w:rsid w:val="00043B26"/>
    <w:rsid w:val="00043EF7"/>
    <w:rsid w:val="000465FB"/>
    <w:rsid w:val="00047FEC"/>
    <w:rsid w:val="000523B6"/>
    <w:rsid w:val="00054E85"/>
    <w:rsid w:val="000621E8"/>
    <w:rsid w:val="0006402B"/>
    <w:rsid w:val="0006605A"/>
    <w:rsid w:val="0007420C"/>
    <w:rsid w:val="00075841"/>
    <w:rsid w:val="000763A4"/>
    <w:rsid w:val="00076E43"/>
    <w:rsid w:val="00081D69"/>
    <w:rsid w:val="00087FFB"/>
    <w:rsid w:val="00091586"/>
    <w:rsid w:val="00093436"/>
    <w:rsid w:val="00094ABB"/>
    <w:rsid w:val="000A2E9F"/>
    <w:rsid w:val="000A4D56"/>
    <w:rsid w:val="000B0E66"/>
    <w:rsid w:val="000B1165"/>
    <w:rsid w:val="000B328A"/>
    <w:rsid w:val="000B4473"/>
    <w:rsid w:val="000B5373"/>
    <w:rsid w:val="000C0DBD"/>
    <w:rsid w:val="000C1E43"/>
    <w:rsid w:val="000C2669"/>
    <w:rsid w:val="000C2B99"/>
    <w:rsid w:val="000C7B91"/>
    <w:rsid w:val="000D0C4B"/>
    <w:rsid w:val="000D6CFA"/>
    <w:rsid w:val="000E0A55"/>
    <w:rsid w:val="000E18DF"/>
    <w:rsid w:val="000F120D"/>
    <w:rsid w:val="000F7D26"/>
    <w:rsid w:val="00114728"/>
    <w:rsid w:val="00116B9A"/>
    <w:rsid w:val="00124032"/>
    <w:rsid w:val="00127378"/>
    <w:rsid w:val="00130437"/>
    <w:rsid w:val="001412BB"/>
    <w:rsid w:val="00141313"/>
    <w:rsid w:val="00141D9A"/>
    <w:rsid w:val="00152015"/>
    <w:rsid w:val="00155CE2"/>
    <w:rsid w:val="00157EE3"/>
    <w:rsid w:val="00162AD6"/>
    <w:rsid w:val="0016318B"/>
    <w:rsid w:val="001643CD"/>
    <w:rsid w:val="0016761A"/>
    <w:rsid w:val="001738CD"/>
    <w:rsid w:val="00183ECC"/>
    <w:rsid w:val="0019075C"/>
    <w:rsid w:val="0019335A"/>
    <w:rsid w:val="001948E9"/>
    <w:rsid w:val="001B2BCB"/>
    <w:rsid w:val="001B4E6C"/>
    <w:rsid w:val="001C78D4"/>
    <w:rsid w:val="001D1BDB"/>
    <w:rsid w:val="001D398B"/>
    <w:rsid w:val="001D7ADB"/>
    <w:rsid w:val="001E3C6D"/>
    <w:rsid w:val="001E4FE4"/>
    <w:rsid w:val="001E64F1"/>
    <w:rsid w:val="001E6E81"/>
    <w:rsid w:val="001F036F"/>
    <w:rsid w:val="0020161E"/>
    <w:rsid w:val="00202B6C"/>
    <w:rsid w:val="00203A5E"/>
    <w:rsid w:val="0020592B"/>
    <w:rsid w:val="00215FA5"/>
    <w:rsid w:val="002205F8"/>
    <w:rsid w:val="00221A79"/>
    <w:rsid w:val="00222643"/>
    <w:rsid w:val="0022437A"/>
    <w:rsid w:val="0022508B"/>
    <w:rsid w:val="002348EC"/>
    <w:rsid w:val="002423C2"/>
    <w:rsid w:val="00246E4B"/>
    <w:rsid w:val="00250B10"/>
    <w:rsid w:val="00256267"/>
    <w:rsid w:val="00262E48"/>
    <w:rsid w:val="00263563"/>
    <w:rsid w:val="0028060D"/>
    <w:rsid w:val="00286D73"/>
    <w:rsid w:val="00287376"/>
    <w:rsid w:val="00287DD4"/>
    <w:rsid w:val="002976E6"/>
    <w:rsid w:val="002A1429"/>
    <w:rsid w:val="002A41EB"/>
    <w:rsid w:val="002A572B"/>
    <w:rsid w:val="002B1BF8"/>
    <w:rsid w:val="002B2487"/>
    <w:rsid w:val="002B28B7"/>
    <w:rsid w:val="002C62A7"/>
    <w:rsid w:val="002C7FD9"/>
    <w:rsid w:val="002D796B"/>
    <w:rsid w:val="002F1A8C"/>
    <w:rsid w:val="002F3165"/>
    <w:rsid w:val="00304B11"/>
    <w:rsid w:val="00311F49"/>
    <w:rsid w:val="003208B6"/>
    <w:rsid w:val="0032203C"/>
    <w:rsid w:val="00337A0F"/>
    <w:rsid w:val="00350C4F"/>
    <w:rsid w:val="00352E25"/>
    <w:rsid w:val="00355F4C"/>
    <w:rsid w:val="003560D3"/>
    <w:rsid w:val="003568DC"/>
    <w:rsid w:val="0036730A"/>
    <w:rsid w:val="00371FD4"/>
    <w:rsid w:val="00373543"/>
    <w:rsid w:val="00373F4C"/>
    <w:rsid w:val="00374420"/>
    <w:rsid w:val="003777F0"/>
    <w:rsid w:val="0038574B"/>
    <w:rsid w:val="0038575B"/>
    <w:rsid w:val="003947DE"/>
    <w:rsid w:val="003A53D1"/>
    <w:rsid w:val="003A5E9D"/>
    <w:rsid w:val="003A70DC"/>
    <w:rsid w:val="003B49EE"/>
    <w:rsid w:val="003B7012"/>
    <w:rsid w:val="003C0019"/>
    <w:rsid w:val="003C0E13"/>
    <w:rsid w:val="003C4E83"/>
    <w:rsid w:val="003E03D4"/>
    <w:rsid w:val="003E04F9"/>
    <w:rsid w:val="003E0A84"/>
    <w:rsid w:val="003E1219"/>
    <w:rsid w:val="003E3281"/>
    <w:rsid w:val="003E34B3"/>
    <w:rsid w:val="003F4D4F"/>
    <w:rsid w:val="003F5FAD"/>
    <w:rsid w:val="003F7476"/>
    <w:rsid w:val="0040097E"/>
    <w:rsid w:val="0040488A"/>
    <w:rsid w:val="00412D00"/>
    <w:rsid w:val="004226DD"/>
    <w:rsid w:val="004247A0"/>
    <w:rsid w:val="00440BF4"/>
    <w:rsid w:val="004418C3"/>
    <w:rsid w:val="00441D9A"/>
    <w:rsid w:val="004449F5"/>
    <w:rsid w:val="00444C88"/>
    <w:rsid w:val="00444DE2"/>
    <w:rsid w:val="0045028A"/>
    <w:rsid w:val="0045076A"/>
    <w:rsid w:val="00453810"/>
    <w:rsid w:val="0046118E"/>
    <w:rsid w:val="004719A9"/>
    <w:rsid w:val="00477400"/>
    <w:rsid w:val="00484CFB"/>
    <w:rsid w:val="0048596C"/>
    <w:rsid w:val="00491D8F"/>
    <w:rsid w:val="00496FA6"/>
    <w:rsid w:val="004976A3"/>
    <w:rsid w:val="00497CF4"/>
    <w:rsid w:val="004A0AD8"/>
    <w:rsid w:val="004A0C88"/>
    <w:rsid w:val="004A3DE7"/>
    <w:rsid w:val="004A5084"/>
    <w:rsid w:val="004A75D1"/>
    <w:rsid w:val="004B7613"/>
    <w:rsid w:val="004D37BC"/>
    <w:rsid w:val="004E45E3"/>
    <w:rsid w:val="004E5044"/>
    <w:rsid w:val="004F1C01"/>
    <w:rsid w:val="0050328F"/>
    <w:rsid w:val="00505EB7"/>
    <w:rsid w:val="005124C2"/>
    <w:rsid w:val="005124C5"/>
    <w:rsid w:val="00512AA2"/>
    <w:rsid w:val="00526ADF"/>
    <w:rsid w:val="00527DEB"/>
    <w:rsid w:val="00535020"/>
    <w:rsid w:val="00545C9A"/>
    <w:rsid w:val="00546223"/>
    <w:rsid w:val="00556D57"/>
    <w:rsid w:val="00564478"/>
    <w:rsid w:val="00573F1F"/>
    <w:rsid w:val="00574EB8"/>
    <w:rsid w:val="00576E8A"/>
    <w:rsid w:val="0057738A"/>
    <w:rsid w:val="005777A4"/>
    <w:rsid w:val="005900DB"/>
    <w:rsid w:val="005949B2"/>
    <w:rsid w:val="005A443C"/>
    <w:rsid w:val="005B2165"/>
    <w:rsid w:val="005B6044"/>
    <w:rsid w:val="005C42C5"/>
    <w:rsid w:val="005D2274"/>
    <w:rsid w:val="005D6946"/>
    <w:rsid w:val="005D7DA5"/>
    <w:rsid w:val="005E695F"/>
    <w:rsid w:val="005F194F"/>
    <w:rsid w:val="005F326E"/>
    <w:rsid w:val="005F73AC"/>
    <w:rsid w:val="0060485C"/>
    <w:rsid w:val="00604F25"/>
    <w:rsid w:val="00607A4D"/>
    <w:rsid w:val="00616455"/>
    <w:rsid w:val="00622469"/>
    <w:rsid w:val="00622A80"/>
    <w:rsid w:val="00627A21"/>
    <w:rsid w:val="00630839"/>
    <w:rsid w:val="00634C9A"/>
    <w:rsid w:val="0065169E"/>
    <w:rsid w:val="00656670"/>
    <w:rsid w:val="00656EF5"/>
    <w:rsid w:val="00660B8C"/>
    <w:rsid w:val="006659D9"/>
    <w:rsid w:val="00665B12"/>
    <w:rsid w:val="006675BC"/>
    <w:rsid w:val="00671513"/>
    <w:rsid w:val="00681E1E"/>
    <w:rsid w:val="0068432B"/>
    <w:rsid w:val="00690791"/>
    <w:rsid w:val="006A16F0"/>
    <w:rsid w:val="006A1FD3"/>
    <w:rsid w:val="006A3245"/>
    <w:rsid w:val="006A4738"/>
    <w:rsid w:val="006A7629"/>
    <w:rsid w:val="006B5A92"/>
    <w:rsid w:val="006C24E4"/>
    <w:rsid w:val="006D0F35"/>
    <w:rsid w:val="006D3F35"/>
    <w:rsid w:val="006D6414"/>
    <w:rsid w:val="006D7DEF"/>
    <w:rsid w:val="006E104E"/>
    <w:rsid w:val="006E1A45"/>
    <w:rsid w:val="006F1348"/>
    <w:rsid w:val="006F5CCF"/>
    <w:rsid w:val="006F74AF"/>
    <w:rsid w:val="00702BAF"/>
    <w:rsid w:val="0070534A"/>
    <w:rsid w:val="007078DA"/>
    <w:rsid w:val="0071051A"/>
    <w:rsid w:val="007128C6"/>
    <w:rsid w:val="00724BE8"/>
    <w:rsid w:val="00743C83"/>
    <w:rsid w:val="007444B9"/>
    <w:rsid w:val="00750E12"/>
    <w:rsid w:val="007536AC"/>
    <w:rsid w:val="00762625"/>
    <w:rsid w:val="00763444"/>
    <w:rsid w:val="007714E4"/>
    <w:rsid w:val="00773937"/>
    <w:rsid w:val="00773AF4"/>
    <w:rsid w:val="00777748"/>
    <w:rsid w:val="00785FBD"/>
    <w:rsid w:val="00795A9D"/>
    <w:rsid w:val="00796687"/>
    <w:rsid w:val="007A57EC"/>
    <w:rsid w:val="007B254B"/>
    <w:rsid w:val="007B38B6"/>
    <w:rsid w:val="007B5374"/>
    <w:rsid w:val="007C06AC"/>
    <w:rsid w:val="007C1584"/>
    <w:rsid w:val="007C6FE4"/>
    <w:rsid w:val="007D3245"/>
    <w:rsid w:val="007D6578"/>
    <w:rsid w:val="007D7C74"/>
    <w:rsid w:val="007E0B25"/>
    <w:rsid w:val="007E1128"/>
    <w:rsid w:val="007E5F25"/>
    <w:rsid w:val="007F0442"/>
    <w:rsid w:val="007F1A84"/>
    <w:rsid w:val="007F3C2E"/>
    <w:rsid w:val="007F5BFE"/>
    <w:rsid w:val="0080139F"/>
    <w:rsid w:val="008203E9"/>
    <w:rsid w:val="00821CC9"/>
    <w:rsid w:val="0082372E"/>
    <w:rsid w:val="008240D9"/>
    <w:rsid w:val="00826F5A"/>
    <w:rsid w:val="00830702"/>
    <w:rsid w:val="00830DE0"/>
    <w:rsid w:val="00833863"/>
    <w:rsid w:val="00833F48"/>
    <w:rsid w:val="00834951"/>
    <w:rsid w:val="00834B3C"/>
    <w:rsid w:val="0083686E"/>
    <w:rsid w:val="00837D03"/>
    <w:rsid w:val="008450C8"/>
    <w:rsid w:val="00845131"/>
    <w:rsid w:val="0084542E"/>
    <w:rsid w:val="00852D7B"/>
    <w:rsid w:val="00853855"/>
    <w:rsid w:val="00853DB1"/>
    <w:rsid w:val="0086229F"/>
    <w:rsid w:val="00862D39"/>
    <w:rsid w:val="00884303"/>
    <w:rsid w:val="0089033F"/>
    <w:rsid w:val="00897C19"/>
    <w:rsid w:val="008A30E3"/>
    <w:rsid w:val="008A4C09"/>
    <w:rsid w:val="008A543A"/>
    <w:rsid w:val="008B1F5C"/>
    <w:rsid w:val="008B50EB"/>
    <w:rsid w:val="008B6FB4"/>
    <w:rsid w:val="008C2017"/>
    <w:rsid w:val="008C3A44"/>
    <w:rsid w:val="008C51AC"/>
    <w:rsid w:val="008D1DD8"/>
    <w:rsid w:val="008D37E9"/>
    <w:rsid w:val="008D5A76"/>
    <w:rsid w:val="008E0051"/>
    <w:rsid w:val="008E2CB5"/>
    <w:rsid w:val="008F3681"/>
    <w:rsid w:val="009004DB"/>
    <w:rsid w:val="009027BF"/>
    <w:rsid w:val="00911EFE"/>
    <w:rsid w:val="0091666B"/>
    <w:rsid w:val="00922675"/>
    <w:rsid w:val="00925515"/>
    <w:rsid w:val="00934A68"/>
    <w:rsid w:val="00947089"/>
    <w:rsid w:val="00952BFC"/>
    <w:rsid w:val="0095795A"/>
    <w:rsid w:val="009849B3"/>
    <w:rsid w:val="0098602B"/>
    <w:rsid w:val="0098741C"/>
    <w:rsid w:val="009876DB"/>
    <w:rsid w:val="00990210"/>
    <w:rsid w:val="009A7DEF"/>
    <w:rsid w:val="009B0396"/>
    <w:rsid w:val="009B42AD"/>
    <w:rsid w:val="009C3233"/>
    <w:rsid w:val="009C3EE5"/>
    <w:rsid w:val="009C63FB"/>
    <w:rsid w:val="009D0636"/>
    <w:rsid w:val="009D4905"/>
    <w:rsid w:val="009E2456"/>
    <w:rsid w:val="009F59BE"/>
    <w:rsid w:val="00A0561D"/>
    <w:rsid w:val="00A062C8"/>
    <w:rsid w:val="00A12B0C"/>
    <w:rsid w:val="00A3061C"/>
    <w:rsid w:val="00A3064C"/>
    <w:rsid w:val="00A355FA"/>
    <w:rsid w:val="00A363B9"/>
    <w:rsid w:val="00A47847"/>
    <w:rsid w:val="00A51DE2"/>
    <w:rsid w:val="00A542C2"/>
    <w:rsid w:val="00A60C86"/>
    <w:rsid w:val="00A61752"/>
    <w:rsid w:val="00A629F0"/>
    <w:rsid w:val="00A62FBB"/>
    <w:rsid w:val="00A6316D"/>
    <w:rsid w:val="00A64447"/>
    <w:rsid w:val="00A65EDC"/>
    <w:rsid w:val="00A71FB8"/>
    <w:rsid w:val="00A735FE"/>
    <w:rsid w:val="00A73948"/>
    <w:rsid w:val="00A74F88"/>
    <w:rsid w:val="00A7715E"/>
    <w:rsid w:val="00A81209"/>
    <w:rsid w:val="00A84A1E"/>
    <w:rsid w:val="00A86086"/>
    <w:rsid w:val="00A92E85"/>
    <w:rsid w:val="00A96BB6"/>
    <w:rsid w:val="00A9757B"/>
    <w:rsid w:val="00AA1874"/>
    <w:rsid w:val="00AA7475"/>
    <w:rsid w:val="00AB0D08"/>
    <w:rsid w:val="00AB6C6C"/>
    <w:rsid w:val="00AB7C4A"/>
    <w:rsid w:val="00AD4F19"/>
    <w:rsid w:val="00AE13FE"/>
    <w:rsid w:val="00AE40B7"/>
    <w:rsid w:val="00AE4762"/>
    <w:rsid w:val="00AF290F"/>
    <w:rsid w:val="00AF2EC7"/>
    <w:rsid w:val="00AF36FD"/>
    <w:rsid w:val="00AF714E"/>
    <w:rsid w:val="00B106F0"/>
    <w:rsid w:val="00B145E0"/>
    <w:rsid w:val="00B15553"/>
    <w:rsid w:val="00B24791"/>
    <w:rsid w:val="00B339B4"/>
    <w:rsid w:val="00B35BED"/>
    <w:rsid w:val="00B37AAD"/>
    <w:rsid w:val="00B645D4"/>
    <w:rsid w:val="00B70DA9"/>
    <w:rsid w:val="00B71A5C"/>
    <w:rsid w:val="00B73596"/>
    <w:rsid w:val="00B759FF"/>
    <w:rsid w:val="00B75EDC"/>
    <w:rsid w:val="00B77779"/>
    <w:rsid w:val="00BA633B"/>
    <w:rsid w:val="00BB3F8B"/>
    <w:rsid w:val="00BB42CB"/>
    <w:rsid w:val="00BB5A66"/>
    <w:rsid w:val="00BB5AF5"/>
    <w:rsid w:val="00BB6EE2"/>
    <w:rsid w:val="00BC2E9A"/>
    <w:rsid w:val="00BC6007"/>
    <w:rsid w:val="00BD5C30"/>
    <w:rsid w:val="00BD637A"/>
    <w:rsid w:val="00BE02F2"/>
    <w:rsid w:val="00BE55A8"/>
    <w:rsid w:val="00BE65EC"/>
    <w:rsid w:val="00BE798D"/>
    <w:rsid w:val="00BF0783"/>
    <w:rsid w:val="00BF2D90"/>
    <w:rsid w:val="00BF7739"/>
    <w:rsid w:val="00C15008"/>
    <w:rsid w:val="00C17D2E"/>
    <w:rsid w:val="00C21087"/>
    <w:rsid w:val="00C32A6C"/>
    <w:rsid w:val="00C36175"/>
    <w:rsid w:val="00C52218"/>
    <w:rsid w:val="00C575C2"/>
    <w:rsid w:val="00C57E1C"/>
    <w:rsid w:val="00C63472"/>
    <w:rsid w:val="00C7682B"/>
    <w:rsid w:val="00C7688A"/>
    <w:rsid w:val="00C97255"/>
    <w:rsid w:val="00CA10A0"/>
    <w:rsid w:val="00CA3F4D"/>
    <w:rsid w:val="00CA41AE"/>
    <w:rsid w:val="00CB0FF7"/>
    <w:rsid w:val="00CB3A3D"/>
    <w:rsid w:val="00CB3DC5"/>
    <w:rsid w:val="00CB7674"/>
    <w:rsid w:val="00CC1A58"/>
    <w:rsid w:val="00CC44F9"/>
    <w:rsid w:val="00CC4540"/>
    <w:rsid w:val="00CC5E6F"/>
    <w:rsid w:val="00CD2EE9"/>
    <w:rsid w:val="00CD6898"/>
    <w:rsid w:val="00CD7599"/>
    <w:rsid w:val="00CE1180"/>
    <w:rsid w:val="00CE2F16"/>
    <w:rsid w:val="00CF0236"/>
    <w:rsid w:val="00CF5505"/>
    <w:rsid w:val="00CF6FBE"/>
    <w:rsid w:val="00D06B4F"/>
    <w:rsid w:val="00D074E1"/>
    <w:rsid w:val="00D1357D"/>
    <w:rsid w:val="00D20A28"/>
    <w:rsid w:val="00D20D88"/>
    <w:rsid w:val="00D25AD2"/>
    <w:rsid w:val="00D352B2"/>
    <w:rsid w:val="00D355B3"/>
    <w:rsid w:val="00D45D02"/>
    <w:rsid w:val="00D4771F"/>
    <w:rsid w:val="00D47F5A"/>
    <w:rsid w:val="00D5280D"/>
    <w:rsid w:val="00D55399"/>
    <w:rsid w:val="00D5727C"/>
    <w:rsid w:val="00D575D8"/>
    <w:rsid w:val="00D60347"/>
    <w:rsid w:val="00D6556A"/>
    <w:rsid w:val="00D70EE1"/>
    <w:rsid w:val="00D75907"/>
    <w:rsid w:val="00D768EF"/>
    <w:rsid w:val="00D76FE7"/>
    <w:rsid w:val="00D82B6A"/>
    <w:rsid w:val="00D842A1"/>
    <w:rsid w:val="00D87731"/>
    <w:rsid w:val="00D90306"/>
    <w:rsid w:val="00D93B9E"/>
    <w:rsid w:val="00D94EE9"/>
    <w:rsid w:val="00DA0186"/>
    <w:rsid w:val="00DA4388"/>
    <w:rsid w:val="00DB127F"/>
    <w:rsid w:val="00DB580E"/>
    <w:rsid w:val="00DC4603"/>
    <w:rsid w:val="00DC5591"/>
    <w:rsid w:val="00DD2758"/>
    <w:rsid w:val="00DD5C23"/>
    <w:rsid w:val="00DE2F0C"/>
    <w:rsid w:val="00DE7EA9"/>
    <w:rsid w:val="00DF344D"/>
    <w:rsid w:val="00DF3849"/>
    <w:rsid w:val="00DF5FF4"/>
    <w:rsid w:val="00DF6404"/>
    <w:rsid w:val="00DF69E5"/>
    <w:rsid w:val="00E0170A"/>
    <w:rsid w:val="00E04CC9"/>
    <w:rsid w:val="00E05F6B"/>
    <w:rsid w:val="00E060CE"/>
    <w:rsid w:val="00E0784B"/>
    <w:rsid w:val="00E16CA6"/>
    <w:rsid w:val="00E170B7"/>
    <w:rsid w:val="00E227DC"/>
    <w:rsid w:val="00E46A8E"/>
    <w:rsid w:val="00E51245"/>
    <w:rsid w:val="00E522EE"/>
    <w:rsid w:val="00E53781"/>
    <w:rsid w:val="00E5620A"/>
    <w:rsid w:val="00E66C8E"/>
    <w:rsid w:val="00E8281C"/>
    <w:rsid w:val="00E82F60"/>
    <w:rsid w:val="00E857FF"/>
    <w:rsid w:val="00E909E9"/>
    <w:rsid w:val="00E92E6C"/>
    <w:rsid w:val="00E9350D"/>
    <w:rsid w:val="00EA09D8"/>
    <w:rsid w:val="00EA132C"/>
    <w:rsid w:val="00EA2072"/>
    <w:rsid w:val="00EA528A"/>
    <w:rsid w:val="00EB01CC"/>
    <w:rsid w:val="00EB426E"/>
    <w:rsid w:val="00EC4011"/>
    <w:rsid w:val="00EC7133"/>
    <w:rsid w:val="00ED06AF"/>
    <w:rsid w:val="00ED2930"/>
    <w:rsid w:val="00ED36A7"/>
    <w:rsid w:val="00EE0C9E"/>
    <w:rsid w:val="00EE1B1A"/>
    <w:rsid w:val="00EE237F"/>
    <w:rsid w:val="00EF27D3"/>
    <w:rsid w:val="00EF2F95"/>
    <w:rsid w:val="00F01F68"/>
    <w:rsid w:val="00F10CF8"/>
    <w:rsid w:val="00F12D3D"/>
    <w:rsid w:val="00F14B9C"/>
    <w:rsid w:val="00F2190B"/>
    <w:rsid w:val="00F21C94"/>
    <w:rsid w:val="00F2367C"/>
    <w:rsid w:val="00F27966"/>
    <w:rsid w:val="00F3191F"/>
    <w:rsid w:val="00F34F02"/>
    <w:rsid w:val="00F352BE"/>
    <w:rsid w:val="00F36432"/>
    <w:rsid w:val="00F435A7"/>
    <w:rsid w:val="00F4431E"/>
    <w:rsid w:val="00F44D05"/>
    <w:rsid w:val="00F51BBB"/>
    <w:rsid w:val="00F53346"/>
    <w:rsid w:val="00F562B7"/>
    <w:rsid w:val="00F56D84"/>
    <w:rsid w:val="00F56E70"/>
    <w:rsid w:val="00F57033"/>
    <w:rsid w:val="00F57E50"/>
    <w:rsid w:val="00F60524"/>
    <w:rsid w:val="00F6788C"/>
    <w:rsid w:val="00F70D00"/>
    <w:rsid w:val="00F727B9"/>
    <w:rsid w:val="00F80943"/>
    <w:rsid w:val="00F90A6C"/>
    <w:rsid w:val="00F9464B"/>
    <w:rsid w:val="00F9540C"/>
    <w:rsid w:val="00FA04B8"/>
    <w:rsid w:val="00FA354B"/>
    <w:rsid w:val="00FA6FE7"/>
    <w:rsid w:val="00FB1854"/>
    <w:rsid w:val="00FB5313"/>
    <w:rsid w:val="00FC1C3F"/>
    <w:rsid w:val="00FC2D99"/>
    <w:rsid w:val="00FD27D1"/>
    <w:rsid w:val="00FE4812"/>
    <w:rsid w:val="00FE5DD0"/>
    <w:rsid w:val="00FF0CC4"/>
    <w:rsid w:val="00FF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E2"/>
  </w:style>
  <w:style w:type="paragraph" w:styleId="1">
    <w:name w:val="heading 1"/>
    <w:basedOn w:val="a"/>
    <w:next w:val="a"/>
    <w:link w:val="10"/>
    <w:qFormat/>
    <w:rsid w:val="00E935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E935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350D"/>
    <w:pPr>
      <w:keepNext/>
      <w:spacing w:before="120" w:after="12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5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E935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9350D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annotation reference"/>
    <w:basedOn w:val="a0"/>
    <w:unhideWhenUsed/>
    <w:rsid w:val="0016318B"/>
    <w:rPr>
      <w:sz w:val="16"/>
      <w:szCs w:val="16"/>
    </w:rPr>
  </w:style>
  <w:style w:type="paragraph" w:styleId="a4">
    <w:name w:val="annotation text"/>
    <w:basedOn w:val="a"/>
    <w:link w:val="a5"/>
    <w:unhideWhenUsed/>
    <w:rsid w:val="0016318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16318B"/>
    <w:rPr>
      <w:sz w:val="20"/>
      <w:szCs w:val="20"/>
    </w:rPr>
  </w:style>
  <w:style w:type="paragraph" w:styleId="a6">
    <w:name w:val="annotation subject"/>
    <w:basedOn w:val="a4"/>
    <w:next w:val="a4"/>
    <w:link w:val="a7"/>
    <w:unhideWhenUsed/>
    <w:rsid w:val="0016318B"/>
    <w:rPr>
      <w:b/>
      <w:bCs/>
    </w:rPr>
  </w:style>
  <w:style w:type="character" w:customStyle="1" w:styleId="a7">
    <w:name w:val="Тема примечания Знак"/>
    <w:basedOn w:val="a5"/>
    <w:link w:val="a6"/>
    <w:rsid w:val="0016318B"/>
    <w:rPr>
      <w:b/>
      <w:bCs/>
      <w:sz w:val="20"/>
      <w:szCs w:val="20"/>
    </w:rPr>
  </w:style>
  <w:style w:type="paragraph" w:styleId="a8">
    <w:name w:val="Balloon Text"/>
    <w:basedOn w:val="a"/>
    <w:link w:val="a9"/>
    <w:unhideWhenUsed/>
    <w:rsid w:val="0016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318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63083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630839"/>
    <w:rPr>
      <w:rFonts w:ascii="Calibri" w:eastAsia="Calibri" w:hAnsi="Calibri" w:cs="Times New Roman"/>
      <w:sz w:val="20"/>
      <w:szCs w:val="20"/>
      <w:lang w:eastAsia="en-US"/>
    </w:rPr>
  </w:style>
  <w:style w:type="character" w:styleId="ac">
    <w:name w:val="footnote reference"/>
    <w:basedOn w:val="a0"/>
    <w:unhideWhenUsed/>
    <w:rsid w:val="00630839"/>
    <w:rPr>
      <w:vertAlign w:val="superscript"/>
    </w:rPr>
  </w:style>
  <w:style w:type="paragraph" w:styleId="ad">
    <w:name w:val="List Paragraph"/>
    <w:basedOn w:val="a"/>
    <w:uiPriority w:val="34"/>
    <w:qFormat/>
    <w:rsid w:val="00EA132C"/>
    <w:pPr>
      <w:ind w:left="720"/>
      <w:contextualSpacing/>
    </w:pPr>
  </w:style>
  <w:style w:type="paragraph" w:customStyle="1" w:styleId="ae">
    <w:name w:val="Текст основной"/>
    <w:basedOn w:val="a"/>
    <w:rsid w:val="00D87731"/>
    <w:pPr>
      <w:spacing w:before="60" w:after="0" w:line="360" w:lineRule="auto"/>
      <w:ind w:firstLine="709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31">
    <w:name w:val="Заглавие 3"/>
    <w:basedOn w:val="a"/>
    <w:rsid w:val="00BE02F2"/>
    <w:pPr>
      <w:spacing w:before="240" w:after="0" w:line="360" w:lineRule="auto"/>
    </w:pPr>
    <w:rPr>
      <w:rFonts w:ascii="Arial" w:eastAsiaTheme="minorHAnsi" w:hAnsi="Arial" w:cs="Arial"/>
      <w:b/>
      <w:bCs/>
      <w:i/>
      <w:iCs/>
      <w:sz w:val="26"/>
      <w:szCs w:val="26"/>
    </w:rPr>
  </w:style>
  <w:style w:type="paragraph" w:styleId="32">
    <w:name w:val="Body Text Indent 3"/>
    <w:basedOn w:val="a"/>
    <w:link w:val="33"/>
    <w:rsid w:val="0019075C"/>
    <w:pPr>
      <w:spacing w:before="120" w:after="120" w:line="240" w:lineRule="auto"/>
      <w:ind w:left="552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9075C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header"/>
    <w:basedOn w:val="a"/>
    <w:link w:val="af0"/>
    <w:unhideWhenUsed/>
    <w:rsid w:val="0041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412D00"/>
  </w:style>
  <w:style w:type="paragraph" w:styleId="af1">
    <w:name w:val="footer"/>
    <w:basedOn w:val="a"/>
    <w:link w:val="af2"/>
    <w:unhideWhenUsed/>
    <w:rsid w:val="0041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412D00"/>
  </w:style>
  <w:style w:type="paragraph" w:customStyle="1" w:styleId="11">
    <w:name w:val="Без интервала11"/>
    <w:rsid w:val="00A65EDC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paragraph" w:customStyle="1" w:styleId="af3">
    <w:name w:val="Заголовок"/>
    <w:basedOn w:val="a"/>
    <w:rsid w:val="00E935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f4">
    <w:name w:val="page number"/>
    <w:rsid w:val="00E9350D"/>
    <w:rPr>
      <w:rFonts w:cs="Times New Roman"/>
    </w:rPr>
  </w:style>
  <w:style w:type="paragraph" w:styleId="af5">
    <w:name w:val="Title"/>
    <w:basedOn w:val="a"/>
    <w:link w:val="af6"/>
    <w:qFormat/>
    <w:rsid w:val="00E9350D"/>
    <w:pPr>
      <w:overflowPunct w:val="0"/>
      <w:autoSpaceDE w:val="0"/>
      <w:autoSpaceDN w:val="0"/>
      <w:adjustRightInd w:val="0"/>
      <w:spacing w:after="0" w:line="240" w:lineRule="auto"/>
      <w:ind w:right="29" w:firstLine="567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E935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7">
    <w:name w:val="Полужирный По центру"/>
    <w:basedOn w:val="a"/>
    <w:rsid w:val="00E935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f8">
    <w:name w:val="Решение"/>
    <w:basedOn w:val="a"/>
    <w:rsid w:val="00E9350D"/>
    <w:pPr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9">
    <w:name w:val="Текст пункта без номера"/>
    <w:basedOn w:val="a"/>
    <w:rsid w:val="00E9350D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">
    <w:name w:val="Полужирный По правому краю"/>
    <w:basedOn w:val="af7"/>
    <w:rsid w:val="00E9350D"/>
    <w:pPr>
      <w:jc w:val="right"/>
    </w:pPr>
  </w:style>
  <w:style w:type="paragraph" w:customStyle="1" w:styleId="125">
    <w:name w:val="Стиль Первая строка:  125 см"/>
    <w:basedOn w:val="a"/>
    <w:rsid w:val="00E9350D"/>
    <w:pPr>
      <w:spacing w:after="60" w:line="240" w:lineRule="auto"/>
      <w:ind w:firstLine="709"/>
      <w:jc w:val="both"/>
    </w:pPr>
    <w:rPr>
      <w:rFonts w:ascii="Franklin Gothic Book" w:eastAsia="Times New Roman" w:hAnsi="Franklin Gothic Book" w:cs="Times New Roman"/>
      <w:sz w:val="24"/>
      <w:szCs w:val="20"/>
    </w:rPr>
  </w:style>
  <w:style w:type="paragraph" w:customStyle="1" w:styleId="12">
    <w:name w:val="Обычный1"/>
    <w:rsid w:val="00E9350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3"/>
    <w:rsid w:val="00E935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E9350D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Plain Text"/>
    <w:basedOn w:val="a"/>
    <w:link w:val="afc"/>
    <w:rsid w:val="00E9350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rsid w:val="00E9350D"/>
    <w:rPr>
      <w:rFonts w:ascii="Courier New" w:eastAsia="Times New Roman" w:hAnsi="Courier New" w:cs="Times New Roman"/>
      <w:sz w:val="20"/>
      <w:szCs w:val="20"/>
    </w:rPr>
  </w:style>
  <w:style w:type="paragraph" w:customStyle="1" w:styleId="2">
    <w:name w:val="Стиль Заголовок 2 + полужирный Черный"/>
    <w:basedOn w:val="20"/>
    <w:rsid w:val="00E9350D"/>
    <w:pPr>
      <w:numPr>
        <w:ilvl w:val="1"/>
        <w:numId w:val="10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d">
    <w:name w:val="Body Text"/>
    <w:basedOn w:val="a"/>
    <w:link w:val="afe"/>
    <w:rsid w:val="00E935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Знак"/>
    <w:basedOn w:val="a0"/>
    <w:link w:val="afd"/>
    <w:rsid w:val="00E9350D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rmal (Web)"/>
    <w:basedOn w:val="a"/>
    <w:uiPriority w:val="99"/>
    <w:rsid w:val="00E9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E9350D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character" w:customStyle="1" w:styleId="aff0">
    <w:name w:val="Схема документа Знак"/>
    <w:basedOn w:val="a0"/>
    <w:link w:val="aff1"/>
    <w:semiHidden/>
    <w:rsid w:val="00E9350D"/>
    <w:rPr>
      <w:rFonts w:ascii="Tahoma" w:eastAsia="Times New Roman" w:hAnsi="Tahoma" w:cs="Times New Roman"/>
      <w:sz w:val="16"/>
      <w:szCs w:val="16"/>
      <w:shd w:val="clear" w:color="auto" w:fill="000080"/>
    </w:rPr>
  </w:style>
  <w:style w:type="paragraph" w:styleId="aff1">
    <w:name w:val="Document Map"/>
    <w:basedOn w:val="a"/>
    <w:link w:val="aff0"/>
    <w:semiHidden/>
    <w:rsid w:val="00E9350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210">
    <w:name w:val="Основной текст 21"/>
    <w:basedOn w:val="a"/>
    <w:rsid w:val="00E9350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Spacing1">
    <w:name w:val="No Spacing1"/>
    <w:rsid w:val="00E9350D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paragraph" w:customStyle="1" w:styleId="Point">
    <w:name w:val="Point"/>
    <w:basedOn w:val="a"/>
    <w:qFormat/>
    <w:rsid w:val="00E9350D"/>
    <w:pPr>
      <w:tabs>
        <w:tab w:val="num" w:pos="851"/>
      </w:tabs>
      <w:spacing w:before="120"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oint2">
    <w:name w:val="Point 2"/>
    <w:basedOn w:val="Point"/>
    <w:qFormat/>
    <w:rsid w:val="00E9350D"/>
    <w:pPr>
      <w:numPr>
        <w:ilvl w:val="4"/>
      </w:numPr>
      <w:tabs>
        <w:tab w:val="num" w:pos="851"/>
      </w:tabs>
      <w:ind w:left="851" w:hanging="851"/>
    </w:pPr>
  </w:style>
  <w:style w:type="paragraph" w:customStyle="1" w:styleId="Title1">
    <w:name w:val="Title 1"/>
    <w:qFormat/>
    <w:rsid w:val="00E9350D"/>
    <w:pPr>
      <w:keepNext/>
      <w:keepLines/>
      <w:pageBreakBefore/>
      <w:tabs>
        <w:tab w:val="num" w:pos="1701"/>
      </w:tabs>
      <w:spacing w:before="120" w:after="0" w:line="240" w:lineRule="auto"/>
      <w:ind w:left="1701" w:hanging="170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Title3">
    <w:name w:val="Title 3"/>
    <w:basedOn w:val="a"/>
    <w:qFormat/>
    <w:rsid w:val="00E9350D"/>
    <w:pPr>
      <w:keepNext/>
      <w:tabs>
        <w:tab w:val="num" w:pos="1844"/>
      </w:tabs>
      <w:spacing w:before="120" w:after="120" w:line="240" w:lineRule="auto"/>
      <w:ind w:left="1844" w:hanging="1418"/>
      <w:jc w:val="both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Title2">
    <w:name w:val="Title 2"/>
    <w:basedOn w:val="Title1"/>
    <w:qFormat/>
    <w:rsid w:val="00E9350D"/>
    <w:pPr>
      <w:pageBreakBefore w:val="0"/>
      <w:numPr>
        <w:ilvl w:val="1"/>
      </w:numPr>
      <w:tabs>
        <w:tab w:val="num" w:pos="1701"/>
      </w:tabs>
      <w:ind w:left="1701" w:hanging="1701"/>
    </w:pPr>
    <w:rPr>
      <w:lang w:val="en-US"/>
    </w:rPr>
  </w:style>
  <w:style w:type="paragraph" w:customStyle="1" w:styleId="Point3">
    <w:name w:val="Point 3"/>
    <w:basedOn w:val="a"/>
    <w:qFormat/>
    <w:rsid w:val="00E9350D"/>
    <w:pPr>
      <w:numPr>
        <w:ilvl w:val="5"/>
        <w:numId w:val="13"/>
      </w:num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en-US"/>
    </w:rPr>
  </w:style>
  <w:style w:type="character" w:customStyle="1" w:styleId="cfs1">
    <w:name w:val="cfs1"/>
    <w:basedOn w:val="a0"/>
    <w:rsid w:val="00E9350D"/>
  </w:style>
  <w:style w:type="paragraph" w:styleId="aff2">
    <w:name w:val="No Spacing"/>
    <w:uiPriority w:val="1"/>
    <w:qFormat/>
    <w:rsid w:val="00E935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Iauiue">
    <w:name w:val="Iau?iue"/>
    <w:uiPriority w:val="99"/>
    <w:rsid w:val="00E93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22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f3">
    <w:name w:val="Table Grid"/>
    <w:basedOn w:val="a1"/>
    <w:rsid w:val="0074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35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E935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350D"/>
    <w:pPr>
      <w:keepNext/>
      <w:spacing w:before="120" w:after="12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5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E935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9350D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annotation reference"/>
    <w:basedOn w:val="a0"/>
    <w:unhideWhenUsed/>
    <w:rsid w:val="0016318B"/>
    <w:rPr>
      <w:sz w:val="16"/>
      <w:szCs w:val="16"/>
    </w:rPr>
  </w:style>
  <w:style w:type="paragraph" w:styleId="a4">
    <w:name w:val="annotation text"/>
    <w:basedOn w:val="a"/>
    <w:link w:val="a5"/>
    <w:unhideWhenUsed/>
    <w:rsid w:val="0016318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16318B"/>
    <w:rPr>
      <w:sz w:val="20"/>
      <w:szCs w:val="20"/>
    </w:rPr>
  </w:style>
  <w:style w:type="paragraph" w:styleId="a6">
    <w:name w:val="annotation subject"/>
    <w:basedOn w:val="a4"/>
    <w:next w:val="a4"/>
    <w:link w:val="a7"/>
    <w:unhideWhenUsed/>
    <w:rsid w:val="0016318B"/>
    <w:rPr>
      <w:b/>
      <w:bCs/>
    </w:rPr>
  </w:style>
  <w:style w:type="character" w:customStyle="1" w:styleId="a7">
    <w:name w:val="Тема примечания Знак"/>
    <w:basedOn w:val="a5"/>
    <w:link w:val="a6"/>
    <w:rsid w:val="0016318B"/>
    <w:rPr>
      <w:b/>
      <w:bCs/>
      <w:sz w:val="20"/>
      <w:szCs w:val="20"/>
    </w:rPr>
  </w:style>
  <w:style w:type="paragraph" w:styleId="a8">
    <w:name w:val="Balloon Text"/>
    <w:basedOn w:val="a"/>
    <w:link w:val="a9"/>
    <w:unhideWhenUsed/>
    <w:rsid w:val="0016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318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63083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630839"/>
    <w:rPr>
      <w:rFonts w:ascii="Calibri" w:eastAsia="Calibri" w:hAnsi="Calibri" w:cs="Times New Roman"/>
      <w:sz w:val="20"/>
      <w:szCs w:val="20"/>
      <w:lang w:eastAsia="en-US"/>
    </w:rPr>
  </w:style>
  <w:style w:type="character" w:styleId="ac">
    <w:name w:val="footnote reference"/>
    <w:basedOn w:val="a0"/>
    <w:unhideWhenUsed/>
    <w:rsid w:val="00630839"/>
    <w:rPr>
      <w:vertAlign w:val="superscript"/>
    </w:rPr>
  </w:style>
  <w:style w:type="paragraph" w:styleId="ad">
    <w:name w:val="List Paragraph"/>
    <w:basedOn w:val="a"/>
    <w:uiPriority w:val="34"/>
    <w:qFormat/>
    <w:rsid w:val="00EA132C"/>
    <w:pPr>
      <w:ind w:left="720"/>
      <w:contextualSpacing/>
    </w:pPr>
  </w:style>
  <w:style w:type="paragraph" w:customStyle="1" w:styleId="ae">
    <w:name w:val="Текст основной"/>
    <w:basedOn w:val="a"/>
    <w:rsid w:val="00D87731"/>
    <w:pPr>
      <w:spacing w:before="60" w:after="0" w:line="360" w:lineRule="auto"/>
      <w:ind w:firstLine="709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31">
    <w:name w:val="Заглавие 3"/>
    <w:basedOn w:val="a"/>
    <w:rsid w:val="00BE02F2"/>
    <w:pPr>
      <w:spacing w:before="240" w:after="0" w:line="360" w:lineRule="auto"/>
    </w:pPr>
    <w:rPr>
      <w:rFonts w:ascii="Arial" w:eastAsiaTheme="minorHAnsi" w:hAnsi="Arial" w:cs="Arial"/>
      <w:b/>
      <w:bCs/>
      <w:i/>
      <w:iCs/>
      <w:sz w:val="26"/>
      <w:szCs w:val="26"/>
    </w:rPr>
  </w:style>
  <w:style w:type="paragraph" w:styleId="32">
    <w:name w:val="Body Text Indent 3"/>
    <w:basedOn w:val="a"/>
    <w:link w:val="33"/>
    <w:rsid w:val="0019075C"/>
    <w:pPr>
      <w:spacing w:before="120" w:after="120" w:line="240" w:lineRule="auto"/>
      <w:ind w:left="552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9075C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header"/>
    <w:basedOn w:val="a"/>
    <w:link w:val="af0"/>
    <w:unhideWhenUsed/>
    <w:rsid w:val="0041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412D00"/>
  </w:style>
  <w:style w:type="paragraph" w:styleId="af1">
    <w:name w:val="footer"/>
    <w:basedOn w:val="a"/>
    <w:link w:val="af2"/>
    <w:unhideWhenUsed/>
    <w:rsid w:val="0041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412D00"/>
  </w:style>
  <w:style w:type="paragraph" w:customStyle="1" w:styleId="11">
    <w:name w:val="Без интервала11"/>
    <w:rsid w:val="00A65EDC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paragraph" w:customStyle="1" w:styleId="af3">
    <w:name w:val="Заголовок"/>
    <w:basedOn w:val="a"/>
    <w:rsid w:val="00E935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f4">
    <w:name w:val="page number"/>
    <w:rsid w:val="00E9350D"/>
    <w:rPr>
      <w:rFonts w:cs="Times New Roman"/>
    </w:rPr>
  </w:style>
  <w:style w:type="paragraph" w:styleId="af5">
    <w:name w:val="Title"/>
    <w:basedOn w:val="a"/>
    <w:link w:val="af6"/>
    <w:qFormat/>
    <w:rsid w:val="00E9350D"/>
    <w:pPr>
      <w:overflowPunct w:val="0"/>
      <w:autoSpaceDE w:val="0"/>
      <w:autoSpaceDN w:val="0"/>
      <w:adjustRightInd w:val="0"/>
      <w:spacing w:after="0" w:line="240" w:lineRule="auto"/>
      <w:ind w:right="29" w:firstLine="567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E935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7">
    <w:name w:val="Полужирный По центру"/>
    <w:basedOn w:val="a"/>
    <w:rsid w:val="00E935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f8">
    <w:name w:val="Решение"/>
    <w:basedOn w:val="a"/>
    <w:rsid w:val="00E9350D"/>
    <w:pPr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9">
    <w:name w:val="Текст пункта без номера"/>
    <w:basedOn w:val="a"/>
    <w:rsid w:val="00E9350D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">
    <w:name w:val="Полужирный По правому краю"/>
    <w:basedOn w:val="af7"/>
    <w:rsid w:val="00E9350D"/>
    <w:pPr>
      <w:jc w:val="right"/>
    </w:pPr>
  </w:style>
  <w:style w:type="paragraph" w:customStyle="1" w:styleId="125">
    <w:name w:val="Стиль Первая строка:  125 см"/>
    <w:basedOn w:val="a"/>
    <w:rsid w:val="00E9350D"/>
    <w:pPr>
      <w:spacing w:after="60" w:line="240" w:lineRule="auto"/>
      <w:ind w:firstLine="709"/>
      <w:jc w:val="both"/>
    </w:pPr>
    <w:rPr>
      <w:rFonts w:ascii="Franklin Gothic Book" w:eastAsia="Times New Roman" w:hAnsi="Franklin Gothic Book" w:cs="Times New Roman"/>
      <w:sz w:val="24"/>
      <w:szCs w:val="20"/>
    </w:rPr>
  </w:style>
  <w:style w:type="paragraph" w:customStyle="1" w:styleId="12">
    <w:name w:val="Обычный1"/>
    <w:rsid w:val="00E9350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3"/>
    <w:rsid w:val="00E935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E9350D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Plain Text"/>
    <w:basedOn w:val="a"/>
    <w:link w:val="afc"/>
    <w:rsid w:val="00E9350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rsid w:val="00E9350D"/>
    <w:rPr>
      <w:rFonts w:ascii="Courier New" w:eastAsia="Times New Roman" w:hAnsi="Courier New" w:cs="Times New Roman"/>
      <w:sz w:val="20"/>
      <w:szCs w:val="20"/>
    </w:rPr>
  </w:style>
  <w:style w:type="paragraph" w:customStyle="1" w:styleId="2">
    <w:name w:val="Стиль Заголовок 2 + полужирный Черный"/>
    <w:basedOn w:val="20"/>
    <w:rsid w:val="00E9350D"/>
    <w:pPr>
      <w:numPr>
        <w:ilvl w:val="1"/>
        <w:numId w:val="10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d">
    <w:name w:val="Body Text"/>
    <w:basedOn w:val="a"/>
    <w:link w:val="afe"/>
    <w:rsid w:val="00E935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Знак"/>
    <w:basedOn w:val="a0"/>
    <w:link w:val="afd"/>
    <w:rsid w:val="00E9350D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rmal (Web)"/>
    <w:basedOn w:val="a"/>
    <w:uiPriority w:val="99"/>
    <w:rsid w:val="00E9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E9350D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character" w:customStyle="1" w:styleId="aff0">
    <w:name w:val="Схема документа Знак"/>
    <w:basedOn w:val="a0"/>
    <w:link w:val="aff1"/>
    <w:semiHidden/>
    <w:rsid w:val="00E9350D"/>
    <w:rPr>
      <w:rFonts w:ascii="Tahoma" w:eastAsia="Times New Roman" w:hAnsi="Tahoma" w:cs="Times New Roman"/>
      <w:sz w:val="16"/>
      <w:szCs w:val="16"/>
      <w:shd w:val="clear" w:color="auto" w:fill="000080"/>
    </w:rPr>
  </w:style>
  <w:style w:type="paragraph" w:styleId="aff1">
    <w:name w:val="Document Map"/>
    <w:basedOn w:val="a"/>
    <w:link w:val="aff0"/>
    <w:semiHidden/>
    <w:rsid w:val="00E9350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210">
    <w:name w:val="Основной текст 21"/>
    <w:basedOn w:val="a"/>
    <w:rsid w:val="00E9350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Spacing1">
    <w:name w:val="No Spacing1"/>
    <w:rsid w:val="00E9350D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paragraph" w:customStyle="1" w:styleId="Point">
    <w:name w:val="Point"/>
    <w:basedOn w:val="a"/>
    <w:qFormat/>
    <w:rsid w:val="00E9350D"/>
    <w:pPr>
      <w:tabs>
        <w:tab w:val="num" w:pos="851"/>
      </w:tabs>
      <w:spacing w:before="120"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oint2">
    <w:name w:val="Point 2"/>
    <w:basedOn w:val="Point"/>
    <w:qFormat/>
    <w:rsid w:val="00E9350D"/>
    <w:pPr>
      <w:numPr>
        <w:ilvl w:val="4"/>
      </w:numPr>
      <w:tabs>
        <w:tab w:val="num" w:pos="851"/>
      </w:tabs>
      <w:ind w:left="851" w:hanging="851"/>
    </w:pPr>
  </w:style>
  <w:style w:type="paragraph" w:customStyle="1" w:styleId="Title1">
    <w:name w:val="Title 1"/>
    <w:qFormat/>
    <w:rsid w:val="00E9350D"/>
    <w:pPr>
      <w:keepNext/>
      <w:keepLines/>
      <w:pageBreakBefore/>
      <w:tabs>
        <w:tab w:val="num" w:pos="1701"/>
      </w:tabs>
      <w:spacing w:before="120" w:after="0" w:line="240" w:lineRule="auto"/>
      <w:ind w:left="1701" w:hanging="170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Title3">
    <w:name w:val="Title 3"/>
    <w:basedOn w:val="a"/>
    <w:qFormat/>
    <w:rsid w:val="00E9350D"/>
    <w:pPr>
      <w:keepNext/>
      <w:tabs>
        <w:tab w:val="num" w:pos="1844"/>
      </w:tabs>
      <w:spacing w:before="120" w:after="120" w:line="240" w:lineRule="auto"/>
      <w:ind w:left="1844" w:hanging="1418"/>
      <w:jc w:val="both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Title2">
    <w:name w:val="Title 2"/>
    <w:basedOn w:val="Title1"/>
    <w:qFormat/>
    <w:rsid w:val="00E9350D"/>
    <w:pPr>
      <w:pageBreakBefore w:val="0"/>
      <w:numPr>
        <w:ilvl w:val="1"/>
      </w:numPr>
      <w:tabs>
        <w:tab w:val="num" w:pos="1701"/>
      </w:tabs>
      <w:ind w:left="1701" w:hanging="1701"/>
    </w:pPr>
    <w:rPr>
      <w:lang w:val="en-US"/>
    </w:rPr>
  </w:style>
  <w:style w:type="paragraph" w:customStyle="1" w:styleId="Point3">
    <w:name w:val="Point 3"/>
    <w:basedOn w:val="a"/>
    <w:qFormat/>
    <w:rsid w:val="00E9350D"/>
    <w:pPr>
      <w:numPr>
        <w:ilvl w:val="5"/>
        <w:numId w:val="13"/>
      </w:num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en-US"/>
    </w:rPr>
  </w:style>
  <w:style w:type="character" w:customStyle="1" w:styleId="cfs1">
    <w:name w:val="cfs1"/>
    <w:basedOn w:val="a0"/>
    <w:rsid w:val="00E9350D"/>
  </w:style>
  <w:style w:type="paragraph" w:styleId="aff2">
    <w:name w:val="No Spacing"/>
    <w:uiPriority w:val="1"/>
    <w:qFormat/>
    <w:rsid w:val="00E935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Iauiue">
    <w:name w:val="Iau?iue"/>
    <w:uiPriority w:val="99"/>
    <w:rsid w:val="00E93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22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3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A6B4B-01CC-468E-A11F-9F3A1DF2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Рафикова Асия Равилевна</dc:creator>
  <cp:lastModifiedBy>frolov</cp:lastModifiedBy>
  <cp:revision>4</cp:revision>
  <cp:lastPrinted>2015-06-16T16:06:00Z</cp:lastPrinted>
  <dcterms:created xsi:type="dcterms:W3CDTF">2015-08-06T11:54:00Z</dcterms:created>
  <dcterms:modified xsi:type="dcterms:W3CDTF">2015-08-06T11:54:00Z</dcterms:modified>
</cp:coreProperties>
</file>