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866444">
        <w:rPr>
          <w:rFonts w:ascii="Times New Roman" w:hAnsi="Times New Roman"/>
          <w:sz w:val="22"/>
          <w:szCs w:val="22"/>
        </w:rPr>
        <w:t xml:space="preserve">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10</w:t>
      </w:r>
      <w:r w:rsidR="00246ADC">
        <w:rPr>
          <w:rFonts w:ascii="Times New Roman" w:hAnsi="Times New Roman"/>
          <w:iCs/>
          <w:snapToGrid w:val="0"/>
          <w:sz w:val="22"/>
          <w:szCs w:val="22"/>
        </w:rPr>
        <w:t>82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246ADC">
        <w:rPr>
          <w:rFonts w:ascii="Times New Roman" w:hAnsi="Times New Roman"/>
          <w:iCs/>
          <w:snapToGrid w:val="0"/>
          <w:sz w:val="22"/>
          <w:szCs w:val="22"/>
        </w:rPr>
        <w:t>23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1E4FD1">
        <w:rPr>
          <w:rFonts w:ascii="Times New Roman" w:hAnsi="Times New Roman"/>
          <w:sz w:val="22"/>
          <w:szCs w:val="22"/>
        </w:rPr>
        <w:t>сентября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246ADC" w:rsidRPr="00956712" w:rsidRDefault="00246ADC" w:rsidP="00246ADC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"24" сентября 2014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 xml:space="preserve">погашением ценных </w:t>
      </w:r>
      <w:r>
        <w:rPr>
          <w:b/>
          <w:sz w:val="22"/>
          <w:szCs w:val="22"/>
        </w:rPr>
        <w:t>бумаг</w:t>
      </w:r>
      <w:r w:rsidRPr="00956712">
        <w:rPr>
          <w:b/>
          <w:sz w:val="22"/>
          <w:szCs w:val="22"/>
        </w:rPr>
        <w:t>:</w:t>
      </w:r>
    </w:p>
    <w:p w:rsidR="00246ADC" w:rsidRPr="00956712" w:rsidRDefault="00246ADC" w:rsidP="00246ADC">
      <w:pPr>
        <w:pStyle w:val="2"/>
        <w:rPr>
          <w:b/>
          <w:bCs/>
          <w:sz w:val="22"/>
          <w:szCs w:val="22"/>
        </w:rPr>
      </w:pPr>
    </w:p>
    <w:p w:rsidR="00246ADC" w:rsidRPr="00246ADC" w:rsidRDefault="00246ADC" w:rsidP="00246ADC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246ADC">
        <w:rPr>
          <w:b w:val="0"/>
          <w:iCs/>
          <w:snapToGrid w:val="0"/>
          <w:color w:val="auto"/>
          <w:szCs w:val="22"/>
        </w:rPr>
        <w:t xml:space="preserve">Неконвертируемые документарные процентные жилищные облигации с ипотечным покрытием на предъявителя с обязательным централизованным хранением класса "А" </w:t>
      </w:r>
      <w:r w:rsidRPr="00246ADC">
        <w:rPr>
          <w:b w:val="0"/>
          <w:iCs/>
          <w:snapToGrid w:val="0"/>
          <w:color w:val="auto"/>
          <w:szCs w:val="22"/>
        </w:rPr>
        <w:br/>
        <w:t xml:space="preserve">Закрытого акционерного общества "Ипотечный агент МБРР", </w:t>
      </w:r>
      <w:r w:rsidRPr="00246ADC">
        <w:rPr>
          <w:b w:val="0"/>
          <w:color w:val="auto"/>
          <w:szCs w:val="22"/>
        </w:rPr>
        <w:t>со следующими параметрами выпуска</w:t>
      </w:r>
      <w:r w:rsidRPr="00246ADC">
        <w:rPr>
          <w:b w:val="0"/>
          <w:noProof/>
          <w:color w:val="auto"/>
          <w:szCs w:val="22"/>
        </w:rPr>
        <w:t>:</w:t>
      </w:r>
    </w:p>
    <w:p w:rsidR="00246ADC" w:rsidRPr="00B326F6" w:rsidRDefault="00246ADC" w:rsidP="00246A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326F6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</w:t>
      </w:r>
      <w:bookmarkStart w:id="0" w:name="_GoBack"/>
      <w:bookmarkEnd w:id="0"/>
      <w:r w:rsidRPr="00956712">
        <w:rPr>
          <w:sz w:val="22"/>
          <w:szCs w:val="22"/>
        </w:rPr>
        <w:t>нных</w:t>
      </w:r>
      <w:r w:rsidRPr="00B326F6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B326F6">
        <w:rPr>
          <w:sz w:val="22"/>
          <w:szCs w:val="22"/>
        </w:rPr>
        <w:t xml:space="preserve"> – </w:t>
      </w:r>
      <w:r w:rsidRPr="00B326F6">
        <w:rPr>
          <w:bCs/>
          <w:sz w:val="22"/>
          <w:szCs w:val="22"/>
        </w:rPr>
        <w:t>Облигации корпоративные</w:t>
      </w:r>
      <w:r w:rsidRPr="00B326F6">
        <w:rPr>
          <w:sz w:val="22"/>
          <w:szCs w:val="22"/>
        </w:rPr>
        <w:t>;</w:t>
      </w:r>
    </w:p>
    <w:p w:rsidR="00246ADC" w:rsidRPr="00B326F6" w:rsidRDefault="00246ADC" w:rsidP="00246A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326F6">
        <w:rPr>
          <w:sz w:val="22"/>
          <w:szCs w:val="22"/>
        </w:rPr>
        <w:t xml:space="preserve">государственный регистрационный номер выпуска – </w:t>
      </w:r>
      <w:r w:rsidRPr="00B326F6">
        <w:rPr>
          <w:bCs/>
          <w:sz w:val="22"/>
          <w:szCs w:val="22"/>
        </w:rPr>
        <w:t>4-01-69714-</w:t>
      </w:r>
      <w:r w:rsidRPr="00956712">
        <w:rPr>
          <w:bCs/>
          <w:sz w:val="22"/>
          <w:szCs w:val="22"/>
          <w:lang w:val="en-US"/>
        </w:rPr>
        <w:t>H</w:t>
      </w:r>
      <w:r w:rsidRPr="00B326F6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B326F6">
        <w:rPr>
          <w:sz w:val="22"/>
          <w:szCs w:val="22"/>
        </w:rPr>
        <w:t xml:space="preserve"> </w:t>
      </w:r>
      <w:r w:rsidRPr="00B326F6">
        <w:rPr>
          <w:bCs/>
          <w:sz w:val="22"/>
          <w:szCs w:val="22"/>
        </w:rPr>
        <w:t>18.08.2009</w:t>
      </w:r>
      <w:r w:rsidRPr="00B326F6">
        <w:rPr>
          <w:sz w:val="22"/>
          <w:szCs w:val="22"/>
        </w:rPr>
        <w:t>;</w:t>
      </w:r>
    </w:p>
    <w:p w:rsidR="00246ADC" w:rsidRPr="00956712" w:rsidRDefault="00246ADC" w:rsidP="00246A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RU000A0JQC15;</w:t>
      </w:r>
    </w:p>
    <w:p w:rsidR="00246ADC" w:rsidRPr="00956712" w:rsidRDefault="00246ADC" w:rsidP="00246A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RU000A0JQC15</w:t>
      </w:r>
      <w:r w:rsidRPr="00956712">
        <w:rPr>
          <w:bCs/>
          <w:sz w:val="22"/>
          <w:szCs w:val="22"/>
        </w:rPr>
        <w:t>.</w:t>
      </w:r>
    </w:p>
    <w:p w:rsidR="00246ADC" w:rsidRDefault="00246ADC" w:rsidP="00246ADC">
      <w:pPr>
        <w:pStyle w:val="2"/>
        <w:rPr>
          <w:sz w:val="22"/>
          <w:szCs w:val="22"/>
        </w:rPr>
      </w:pPr>
    </w:p>
    <w:p w:rsidR="00246ADC" w:rsidRPr="00653B91" w:rsidRDefault="00246ADC" w:rsidP="00246ADC">
      <w:pPr>
        <w:pStyle w:val="Iauiue3"/>
        <w:keepLines w:val="0"/>
        <w:widowControl/>
      </w:pPr>
      <w:r w:rsidRPr="00185847">
        <w:rPr>
          <w:rFonts w:ascii="Times New Roman" w:hAnsi="Times New Roman"/>
          <w:sz w:val="22"/>
          <w:szCs w:val="22"/>
        </w:rPr>
        <w:t xml:space="preserve">В соответствии с п. 1.2.7. Правил торгов с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85847">
        <w:rPr>
          <w:rFonts w:ascii="Times New Roman" w:hAnsi="Times New Roman"/>
          <w:sz w:val="22"/>
          <w:szCs w:val="22"/>
        </w:rPr>
        <w:t>24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85847">
        <w:rPr>
          <w:rFonts w:ascii="Times New Roman" w:hAnsi="Times New Roman"/>
          <w:sz w:val="22"/>
          <w:szCs w:val="22"/>
        </w:rPr>
        <w:t xml:space="preserve"> сентября 2014 года исключить из </w:t>
      </w:r>
      <w:r>
        <w:rPr>
          <w:rFonts w:ascii="Times New Roman" w:hAnsi="Times New Roman"/>
          <w:sz w:val="22"/>
          <w:szCs w:val="22"/>
        </w:rPr>
        <w:br/>
      </w:r>
      <w:r w:rsidRPr="00185847">
        <w:rPr>
          <w:rFonts w:ascii="Times New Roman" w:hAnsi="Times New Roman"/>
          <w:sz w:val="22"/>
          <w:szCs w:val="22"/>
        </w:rPr>
        <w:t xml:space="preserve">Таблицы 2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85847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ЗАО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85847">
        <w:rPr>
          <w:rFonts w:ascii="Times New Roman" w:hAnsi="Times New Roman"/>
          <w:sz w:val="22"/>
          <w:szCs w:val="22"/>
        </w:rPr>
        <w:t>ФБ ММВБ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>
        <w:rPr>
          <w:rFonts w:ascii="Times New Roman" w:hAnsi="Times New Roman"/>
          <w:iCs/>
          <w:snapToGrid w:val="0"/>
          <w:sz w:val="22"/>
          <w:szCs w:val="22"/>
        </w:rPr>
        <w:t xml:space="preserve"> </w:t>
      </w:r>
      <w:r w:rsidRPr="00185847">
        <w:rPr>
          <w:rFonts w:ascii="Times New Roman" w:hAnsi="Times New Roman"/>
          <w:sz w:val="22"/>
          <w:szCs w:val="22"/>
        </w:rPr>
        <w:t xml:space="preserve">Приложения к Распоряжению ЗАО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85847">
        <w:rPr>
          <w:rFonts w:ascii="Times New Roman" w:hAnsi="Times New Roman"/>
          <w:sz w:val="22"/>
          <w:szCs w:val="22"/>
        </w:rPr>
        <w:t>ФБ ММВБ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>
        <w:rPr>
          <w:rFonts w:ascii="Times New Roman" w:hAnsi="Times New Roman"/>
          <w:iCs/>
          <w:snapToGrid w:val="0"/>
          <w:sz w:val="22"/>
          <w:szCs w:val="22"/>
        </w:rPr>
        <w:t xml:space="preserve"> </w:t>
      </w:r>
      <w:r w:rsidRPr="00185847">
        <w:rPr>
          <w:rFonts w:ascii="Times New Roman" w:hAnsi="Times New Roman"/>
          <w:sz w:val="22"/>
          <w:szCs w:val="22"/>
        </w:rPr>
        <w:t>от 03.06.2014 № 670-р строку следующего содержания:</w:t>
      </w:r>
    </w:p>
    <w:p w:rsidR="00246ADC" w:rsidRDefault="00246ADC" w:rsidP="00246ADC">
      <w:pPr>
        <w:pStyle w:val="af8"/>
        <w:ind w:left="502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20"/>
        <w:gridCol w:w="1843"/>
        <w:gridCol w:w="994"/>
        <w:gridCol w:w="991"/>
        <w:gridCol w:w="1256"/>
        <w:gridCol w:w="1151"/>
        <w:gridCol w:w="1418"/>
      </w:tblGrid>
      <w:tr w:rsidR="00246ADC" w:rsidRPr="00F644E8" w:rsidTr="00FA2604">
        <w:trPr>
          <w:trHeight w:val="18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85847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85847"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85847">
              <w:rPr>
                <w:b/>
                <w:sz w:val="14"/>
                <w:szCs w:val="14"/>
              </w:rPr>
              <w:t>идентификационный номер</w:t>
            </w:r>
            <w:r w:rsidRPr="00185847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185847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246ADC" w:rsidRPr="00F310E0" w:rsidTr="00FA2604">
        <w:trPr>
          <w:trHeight w:hRule="exact" w:val="68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185847">
              <w:rPr>
                <w:bCs/>
                <w:color w:val="000000"/>
                <w:sz w:val="14"/>
                <w:szCs w:val="14"/>
                <w:lang w:val="ru-RU"/>
              </w:rPr>
              <w:t>103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RU000A0JQC15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jc w:val="center"/>
              <w:rPr>
                <w:sz w:val="14"/>
                <w:szCs w:val="14"/>
              </w:rPr>
            </w:pPr>
            <w:r w:rsidRPr="00185847">
              <w:rPr>
                <w:sz w:val="14"/>
                <w:szCs w:val="14"/>
              </w:rPr>
              <w:t xml:space="preserve">Облигации класса </w:t>
            </w:r>
            <w:r w:rsidRPr="00185847">
              <w:rPr>
                <w:iCs/>
                <w:snapToGrid w:val="0"/>
                <w:sz w:val="14"/>
                <w:szCs w:val="14"/>
              </w:rPr>
              <w:t>"</w:t>
            </w:r>
            <w:r w:rsidRPr="00185847">
              <w:rPr>
                <w:sz w:val="14"/>
                <w:szCs w:val="14"/>
              </w:rPr>
              <w:t>А</w:t>
            </w:r>
            <w:r w:rsidRPr="00185847">
              <w:rPr>
                <w:iCs/>
                <w:snapToGrid w:val="0"/>
                <w:sz w:val="14"/>
                <w:szCs w:val="14"/>
              </w:rPr>
              <w:t>"</w:t>
            </w:r>
          </w:p>
          <w:p w:rsidR="00246ADC" w:rsidRPr="00185847" w:rsidRDefault="00246ADC" w:rsidP="00FA260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185847">
              <w:rPr>
                <w:sz w:val="14"/>
                <w:szCs w:val="14"/>
              </w:rPr>
              <w:t xml:space="preserve">ЗАО </w:t>
            </w:r>
            <w:r w:rsidRPr="00185847">
              <w:rPr>
                <w:iCs/>
                <w:snapToGrid w:val="0"/>
                <w:sz w:val="14"/>
                <w:szCs w:val="14"/>
              </w:rPr>
              <w:t>"</w:t>
            </w:r>
            <w:r w:rsidRPr="00185847">
              <w:rPr>
                <w:sz w:val="14"/>
                <w:szCs w:val="14"/>
              </w:rPr>
              <w:t>Ипотечный агент МБРР</w:t>
            </w:r>
            <w:r w:rsidRPr="00185847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4-01-69714-H от 18.08.2009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Т</w:t>
            </w:r>
            <w:proofErr w:type="gramStart"/>
            <w:r w:rsidRPr="00185847">
              <w:rPr>
                <w:sz w:val="14"/>
                <w:szCs w:val="14"/>
              </w:rPr>
              <w:t>0</w:t>
            </w:r>
            <w:proofErr w:type="gramEnd"/>
            <w:r w:rsidRPr="00185847">
              <w:rPr>
                <w:sz w:val="14"/>
                <w:szCs w:val="14"/>
              </w:rPr>
              <w:t>, В0-В30, S0-S2, Rb,Z0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ADC" w:rsidRPr="00185847" w:rsidRDefault="00246ADC" w:rsidP="00FA2604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185847">
              <w:rPr>
                <w:sz w:val="14"/>
                <w:szCs w:val="14"/>
              </w:rPr>
              <w:t>не предусмотрены</w:t>
            </w:r>
          </w:p>
        </w:tc>
      </w:tr>
    </w:tbl>
    <w:p w:rsidR="00246ADC" w:rsidRPr="008A60A8" w:rsidRDefault="00246ADC" w:rsidP="00246ADC">
      <w:pPr>
        <w:pStyle w:val="2"/>
        <w:numPr>
          <w:ilvl w:val="0"/>
          <w:numId w:val="3"/>
        </w:numPr>
        <w:tabs>
          <w:tab w:val="clear" w:pos="360"/>
          <w:tab w:val="num" w:pos="502"/>
        </w:tabs>
        <w:ind w:left="502"/>
        <w:rPr>
          <w:b/>
          <w:sz w:val="14"/>
          <w:szCs w:val="14"/>
        </w:rPr>
      </w:pPr>
      <w:r w:rsidRPr="008A60A8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246ADC" w:rsidRPr="00185847" w:rsidRDefault="00246ADC" w:rsidP="00246ADC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246ADC" w:rsidRPr="00956712" w:rsidRDefault="00246ADC" w:rsidP="00246ADC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"24" сентября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246ADC" w:rsidRDefault="00246ADC" w:rsidP="00246ADC">
      <w:pPr>
        <w:pStyle w:val="2"/>
        <w:tabs>
          <w:tab w:val="num" w:pos="900"/>
        </w:tabs>
        <w:rPr>
          <w:b/>
          <w:sz w:val="16"/>
          <w:szCs w:val="16"/>
        </w:rPr>
      </w:pPr>
    </w:p>
    <w:p w:rsidR="00246ADC" w:rsidRDefault="00246ADC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246ADC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158</cp:revision>
  <cp:lastPrinted>2012-05-10T13:57:00Z</cp:lastPrinted>
  <dcterms:created xsi:type="dcterms:W3CDTF">2012-05-28T07:52:00Z</dcterms:created>
  <dcterms:modified xsi:type="dcterms:W3CDTF">2014-09-23T08:11:00Z</dcterms:modified>
</cp:coreProperties>
</file>