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A8" w:rsidRPr="00334E4B" w:rsidRDefault="009D366F">
      <w:pPr>
        <w:pStyle w:val="bodytext3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334E4B">
        <w:rPr>
          <w:rFonts w:ascii="Times New Roman" w:hAnsi="Times New Roman" w:cs="Times New Roman"/>
          <w:b/>
          <w:bCs/>
        </w:rPr>
        <w:t>Повестка дня и решения</w:t>
      </w:r>
      <w:r w:rsidRPr="00334E4B">
        <w:rPr>
          <w:rFonts w:ascii="Times New Roman" w:hAnsi="Times New Roman" w:cs="Times New Roman"/>
          <w:b/>
          <w:bCs/>
        </w:rPr>
        <w:t xml:space="preserve">, </w:t>
      </w:r>
      <w:r w:rsidRPr="00334E4B">
        <w:rPr>
          <w:rFonts w:ascii="Times New Roman" w:hAnsi="Times New Roman" w:cs="Times New Roman"/>
          <w:b/>
          <w:bCs/>
        </w:rPr>
        <w:t>принятые на заседании</w:t>
      </w:r>
    </w:p>
    <w:p w:rsidR="005826A8" w:rsidRPr="00334E4B" w:rsidRDefault="009D366F">
      <w:pPr>
        <w:pStyle w:val="bodytext3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334E4B">
        <w:rPr>
          <w:rFonts w:ascii="Times New Roman" w:hAnsi="Times New Roman" w:cs="Times New Roman"/>
          <w:b/>
          <w:bCs/>
        </w:rPr>
        <w:t>Комитета по ценным бумагам с фиксированным доходом ЗАО «ФБ ММВБ»</w:t>
      </w:r>
    </w:p>
    <w:p w:rsidR="005826A8" w:rsidRPr="00334E4B" w:rsidRDefault="005826A8">
      <w:pPr>
        <w:jc w:val="center"/>
        <w:rPr>
          <w:b/>
          <w:bCs/>
        </w:rPr>
      </w:pPr>
    </w:p>
    <w:p w:rsidR="005826A8" w:rsidRPr="00334E4B" w:rsidRDefault="009D366F">
      <w:pPr>
        <w:spacing w:after="120"/>
        <w:jc w:val="both"/>
      </w:pPr>
      <w:r w:rsidRPr="00334E4B">
        <w:rPr>
          <w:b/>
          <w:bCs/>
          <w:u w:val="single"/>
        </w:rPr>
        <w:t>Форма проведения</w:t>
      </w:r>
      <w:r w:rsidRPr="00334E4B">
        <w:rPr>
          <w:b/>
          <w:bCs/>
          <w:u w:val="single"/>
        </w:rPr>
        <w:t>:</w:t>
      </w:r>
      <w:r w:rsidRPr="00334E4B">
        <w:t xml:space="preserve"> совместное присутствие членов Комитета по ценным бумагам с фиксированным доходом ЗАО «ФБ ММВБ» для голосования по вопросам повестки дня и принятия решений по вопросам</w:t>
      </w:r>
      <w:r w:rsidRPr="00334E4B">
        <w:t xml:space="preserve">, </w:t>
      </w:r>
      <w:r w:rsidRPr="00334E4B">
        <w:t>поставленным на голосование</w:t>
      </w:r>
      <w:r w:rsidRPr="00334E4B">
        <w:t>.</w:t>
      </w:r>
    </w:p>
    <w:p w:rsidR="005826A8" w:rsidRPr="00334E4B" w:rsidRDefault="009D366F">
      <w:pPr>
        <w:spacing w:after="60"/>
        <w:ind w:right="357"/>
        <w:jc w:val="both"/>
      </w:pPr>
      <w:r w:rsidRPr="00334E4B">
        <w:rPr>
          <w:b/>
          <w:bCs/>
          <w:u w:val="single"/>
        </w:rPr>
        <w:t>Дата подведения заседания</w:t>
      </w:r>
      <w:r w:rsidRPr="00334E4B">
        <w:rPr>
          <w:b/>
          <w:bCs/>
          <w:u w:val="single"/>
        </w:rPr>
        <w:t>:</w:t>
      </w:r>
      <w:r w:rsidRPr="00334E4B">
        <w:rPr>
          <w:b/>
          <w:bCs/>
        </w:rPr>
        <w:t xml:space="preserve"> </w:t>
      </w:r>
      <w:r w:rsidRPr="00334E4B">
        <w:t xml:space="preserve"> 12 </w:t>
      </w:r>
      <w:r w:rsidRPr="00334E4B">
        <w:t xml:space="preserve">декабря </w:t>
      </w:r>
      <w:r w:rsidRPr="00334E4B">
        <w:t xml:space="preserve">2014 </w:t>
      </w:r>
      <w:r w:rsidRPr="00334E4B">
        <w:t xml:space="preserve">года </w:t>
      </w:r>
    </w:p>
    <w:p w:rsidR="005826A8" w:rsidRPr="00334E4B" w:rsidRDefault="009D366F">
      <w:pPr>
        <w:tabs>
          <w:tab w:val="left" w:pos="9360"/>
        </w:tabs>
        <w:spacing w:after="60"/>
        <w:jc w:val="both"/>
      </w:pPr>
      <w:r w:rsidRPr="00334E4B">
        <w:rPr>
          <w:b/>
          <w:bCs/>
          <w:u w:val="single"/>
        </w:rPr>
        <w:t>Место пр</w:t>
      </w:r>
      <w:r w:rsidRPr="00334E4B">
        <w:rPr>
          <w:b/>
          <w:bCs/>
          <w:u w:val="single"/>
        </w:rPr>
        <w:t>оведения заседания</w:t>
      </w:r>
      <w:r w:rsidRPr="00334E4B">
        <w:rPr>
          <w:b/>
          <w:bCs/>
        </w:rPr>
        <w:t xml:space="preserve">: </w:t>
      </w:r>
      <w:r w:rsidRPr="00334E4B">
        <w:t xml:space="preserve"> Москва</w:t>
      </w:r>
      <w:r w:rsidRPr="00334E4B">
        <w:t xml:space="preserve">, </w:t>
      </w:r>
      <w:r w:rsidRPr="00334E4B">
        <w:t>Воздвиженка</w:t>
      </w:r>
      <w:r w:rsidRPr="00334E4B">
        <w:t xml:space="preserve">, 4/7 </w:t>
      </w:r>
      <w:r w:rsidRPr="00334E4B">
        <w:t>стр</w:t>
      </w:r>
      <w:r w:rsidRPr="00334E4B">
        <w:t>.1, 7</w:t>
      </w:r>
      <w:r w:rsidRPr="00334E4B">
        <w:t> этаж</w:t>
      </w:r>
      <w:r w:rsidRPr="00334E4B">
        <w:t xml:space="preserve">, </w:t>
      </w:r>
      <w:r w:rsidRPr="00334E4B">
        <w:t>пом</w:t>
      </w:r>
      <w:r w:rsidRPr="00334E4B">
        <w:t>. 7.18.</w:t>
      </w:r>
    </w:p>
    <w:p w:rsidR="005826A8" w:rsidRPr="00334E4B" w:rsidRDefault="005826A8">
      <w:pPr>
        <w:widowControl w:val="0"/>
        <w:ind w:right="357"/>
        <w:jc w:val="both"/>
      </w:pPr>
    </w:p>
    <w:tbl>
      <w:tblPr>
        <w:tblStyle w:val="TableNormal"/>
        <w:tblW w:w="151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190"/>
      </w:tblGrid>
      <w:tr w:rsidR="005826A8" w:rsidRPr="0033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t>Вопрос повестки дня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t>Принятое решение</w:t>
            </w:r>
          </w:p>
        </w:tc>
      </w:tr>
      <w:tr w:rsidR="005826A8" w:rsidRPr="0033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5826A8">
            <w:pPr>
              <w:pStyle w:val="a6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5826A8" w:rsidRPr="00334E4B" w:rsidRDefault="009D366F">
            <w:pPr>
              <w:pStyle w:val="a6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34E4B">
              <w:rPr>
                <w:b/>
                <w:bCs/>
                <w:sz w:val="24"/>
                <w:szCs w:val="24"/>
              </w:rPr>
              <w:t xml:space="preserve">Вопрос </w:t>
            </w:r>
            <w:r w:rsidRPr="00334E4B">
              <w:rPr>
                <w:b/>
                <w:bCs/>
                <w:sz w:val="24"/>
                <w:szCs w:val="24"/>
              </w:rPr>
              <w:t xml:space="preserve">1 </w:t>
            </w:r>
            <w:r w:rsidRPr="00334E4B">
              <w:rPr>
                <w:b/>
                <w:bCs/>
                <w:sz w:val="24"/>
                <w:szCs w:val="24"/>
              </w:rPr>
              <w:t>повестки дня</w:t>
            </w:r>
            <w:r w:rsidRPr="00334E4B">
              <w:rPr>
                <w:b/>
                <w:bCs/>
                <w:sz w:val="24"/>
                <w:szCs w:val="24"/>
              </w:rPr>
              <w:t xml:space="preserve">: </w:t>
            </w:r>
            <w:r w:rsidRPr="00334E4B">
              <w:rPr>
                <w:b/>
                <w:bCs/>
                <w:sz w:val="24"/>
                <w:szCs w:val="24"/>
              </w:rPr>
              <w:t xml:space="preserve">О ведении тарифов за листинг для облигаций сроком обращения не более </w:t>
            </w:r>
            <w:r w:rsidRPr="00334E4B">
              <w:rPr>
                <w:b/>
                <w:bCs/>
                <w:sz w:val="24"/>
                <w:szCs w:val="24"/>
              </w:rPr>
              <w:t xml:space="preserve">12 </w:t>
            </w:r>
            <w:r w:rsidRPr="00334E4B">
              <w:rPr>
                <w:b/>
                <w:bCs/>
                <w:sz w:val="24"/>
                <w:szCs w:val="24"/>
              </w:rPr>
              <w:t>месяцев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pPr>
              <w:spacing w:before="120"/>
              <w:jc w:val="both"/>
            </w:pPr>
            <w:r w:rsidRPr="00334E4B">
              <w:t xml:space="preserve">Рекомендовать уполномоченному органу </w:t>
            </w:r>
            <w:r w:rsidRPr="00334E4B">
              <w:t>ЗАО «ФБ ММВБ» утвердить следующие тарифы листинга за услуги по размещению облигаций</w:t>
            </w:r>
            <w:r w:rsidRPr="00334E4B">
              <w:t xml:space="preserve">, </w:t>
            </w:r>
            <w:r w:rsidRPr="00334E4B">
              <w:t xml:space="preserve">сроком обращения не более </w:t>
            </w:r>
            <w:r w:rsidRPr="00334E4B">
              <w:t xml:space="preserve">12 </w:t>
            </w:r>
            <w:r w:rsidRPr="00334E4B">
              <w:t>месяцев</w:t>
            </w:r>
            <w:r w:rsidRPr="00334E4B">
              <w:t xml:space="preserve">: </w:t>
            </w:r>
          </w:p>
          <w:p w:rsidR="005826A8" w:rsidRPr="00334E4B" w:rsidRDefault="009D366F">
            <w:pPr>
              <w:jc w:val="center"/>
              <w:rPr>
                <w:b/>
                <w:bCs/>
              </w:rPr>
            </w:pPr>
            <w:r w:rsidRPr="00334E4B">
              <w:rPr>
                <w:b/>
                <w:bCs/>
              </w:rPr>
              <w:t xml:space="preserve">Вознаграждение за услуги по размещению коротких облигаций до </w:t>
            </w:r>
            <w:r w:rsidRPr="00334E4B">
              <w:rPr>
                <w:b/>
                <w:bCs/>
              </w:rPr>
              <w:t xml:space="preserve">1 </w:t>
            </w:r>
            <w:r w:rsidRPr="00334E4B">
              <w:rPr>
                <w:b/>
                <w:bCs/>
              </w:rPr>
              <w:t>года</w:t>
            </w:r>
            <w:r w:rsidRPr="00334E4B">
              <w:rPr>
                <w:b/>
                <w:bCs/>
              </w:rPr>
              <w:t xml:space="preserve">, </w:t>
            </w:r>
            <w:r w:rsidRPr="00334E4B">
              <w:rPr>
                <w:b/>
                <w:bCs/>
              </w:rPr>
              <w:t>руб</w:t>
            </w:r>
            <w:r w:rsidRPr="00334E4B">
              <w:rPr>
                <w:b/>
                <w:bCs/>
              </w:rPr>
              <w:t>.</w:t>
            </w:r>
          </w:p>
          <w:p w:rsidR="0006289B" w:rsidRPr="000C5774" w:rsidRDefault="009D366F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334E4B">
              <w:t xml:space="preserve"> </w:t>
            </w:r>
            <w:r w:rsidR="0006289B" w:rsidRPr="000C5774">
              <w:rPr>
                <w:b/>
                <w:i/>
                <w:sz w:val="16"/>
                <w:szCs w:val="16"/>
              </w:rPr>
              <w:t xml:space="preserve">Объем выпуска, млрд. руб. </w:t>
            </w:r>
            <w:r w:rsidR="0006289B" w:rsidRPr="000C5774">
              <w:rPr>
                <w:b/>
                <w:i/>
                <w:sz w:val="16"/>
                <w:szCs w:val="16"/>
              </w:rPr>
              <w:tab/>
              <w:t xml:space="preserve">Срок обращения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от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до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до 30* дней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от 30 до 90* дней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от 90 до 180* дней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от 180 до 270* дней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от 270 до 365 дней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&gt;0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1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100 000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150 000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300 000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                 500 000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&gt;1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3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120 000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180 000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360 000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                 600 000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&gt;3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140 000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210 000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420 000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                 700 000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&gt;5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10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150 000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225 000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450 000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                 750 000 </w:t>
            </w:r>
          </w:p>
          <w:p w:rsidR="0006289B" w:rsidRPr="000C5774" w:rsidRDefault="0006289B" w:rsidP="0006289B">
            <w:pPr>
              <w:spacing w:before="120" w:after="120"/>
              <w:jc w:val="both"/>
              <w:rPr>
                <w:b/>
                <w:i/>
                <w:sz w:val="16"/>
                <w:szCs w:val="16"/>
              </w:rPr>
            </w:pPr>
            <w:r w:rsidRPr="000C5774">
              <w:rPr>
                <w:b/>
                <w:i/>
                <w:sz w:val="16"/>
                <w:szCs w:val="16"/>
              </w:rPr>
              <w:t xml:space="preserve">&gt;10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и более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50 000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160 000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240 000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480 000 </w:t>
            </w:r>
            <w:r w:rsidRPr="000C5774">
              <w:rPr>
                <w:b/>
                <w:i/>
                <w:sz w:val="16"/>
                <w:szCs w:val="16"/>
              </w:rPr>
              <w:tab/>
              <w:t xml:space="preserve">                                   800 000</w:t>
            </w:r>
          </w:p>
          <w:p w:rsidR="005826A8" w:rsidRPr="00334E4B" w:rsidRDefault="005826A8"/>
        </w:tc>
      </w:tr>
      <w:tr w:rsidR="005826A8" w:rsidRPr="0033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pPr>
              <w:pStyle w:val="a6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34E4B">
              <w:rPr>
                <w:b/>
                <w:bCs/>
                <w:sz w:val="24"/>
                <w:szCs w:val="24"/>
              </w:rPr>
              <w:t xml:space="preserve">Вопрос </w:t>
            </w:r>
            <w:r w:rsidRPr="00334E4B">
              <w:rPr>
                <w:b/>
                <w:bCs/>
                <w:sz w:val="24"/>
                <w:szCs w:val="24"/>
              </w:rPr>
              <w:t xml:space="preserve">2 </w:t>
            </w:r>
            <w:r w:rsidRPr="00334E4B">
              <w:rPr>
                <w:b/>
                <w:bCs/>
                <w:sz w:val="24"/>
                <w:szCs w:val="24"/>
              </w:rPr>
              <w:t>повестки дня</w:t>
            </w:r>
            <w:r w:rsidRPr="00334E4B">
              <w:rPr>
                <w:b/>
                <w:bCs/>
                <w:sz w:val="24"/>
                <w:szCs w:val="24"/>
              </w:rPr>
              <w:t xml:space="preserve">: </w:t>
            </w:r>
            <w:r w:rsidRPr="00334E4B">
              <w:rPr>
                <w:b/>
                <w:bCs/>
                <w:sz w:val="24"/>
                <w:szCs w:val="24"/>
              </w:rPr>
              <w:t>О работе Рабочей группы по рейтинговым агентствам</w:t>
            </w:r>
            <w:bookmarkStart w:id="0" w:name="_GoBack"/>
            <w:bookmarkEnd w:id="0"/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334E4B">
            <w:pPr>
              <w:spacing w:before="120"/>
              <w:jc w:val="both"/>
            </w:pPr>
            <w:r>
              <w:t>1.1.</w:t>
            </w:r>
            <w:r w:rsidR="009D366F" w:rsidRPr="00334E4B">
              <w:t xml:space="preserve">Рекомендовать ЗАО «ФБ ММВБ» учитывать рейтинги </w:t>
            </w:r>
            <w:r w:rsidR="009D366F" w:rsidRPr="00334E4B">
              <w:t>4-</w:t>
            </w:r>
            <w:r w:rsidR="009D366F" w:rsidRPr="00334E4B">
              <w:t xml:space="preserve">х рейтинговых агентств </w:t>
            </w:r>
            <w:r w:rsidR="009D366F" w:rsidRPr="00334E4B">
              <w:t>(</w:t>
            </w:r>
            <w:r w:rsidR="009D366F" w:rsidRPr="00334E4B">
              <w:t>НРА</w:t>
            </w:r>
            <w:r w:rsidR="009D366F" w:rsidRPr="00334E4B">
              <w:t xml:space="preserve">, </w:t>
            </w:r>
            <w:r w:rsidR="009D366F" w:rsidRPr="00334E4B">
              <w:t>Эксперт РА</w:t>
            </w:r>
            <w:r w:rsidR="009D366F" w:rsidRPr="00334E4B">
              <w:t xml:space="preserve">, </w:t>
            </w:r>
            <w:r w:rsidR="009D366F" w:rsidRPr="00334E4B">
              <w:t>РусРейтинг</w:t>
            </w:r>
            <w:r w:rsidR="009D366F" w:rsidRPr="00334E4B">
              <w:t xml:space="preserve">, </w:t>
            </w:r>
            <w:r w:rsidR="009D366F" w:rsidRPr="00334E4B">
              <w:rPr>
                <w:lang w:val="en-US"/>
              </w:rPr>
              <w:t>AK</w:t>
            </w:r>
            <w:r w:rsidR="009D366F" w:rsidRPr="00334E4B">
              <w:t>&amp;</w:t>
            </w:r>
            <w:r w:rsidR="009D366F" w:rsidRPr="00334E4B">
              <w:rPr>
                <w:lang w:val="en-US"/>
              </w:rPr>
              <w:t>M</w:t>
            </w:r>
            <w:r w:rsidR="009D366F" w:rsidRPr="00334E4B">
              <w:t xml:space="preserve">) </w:t>
            </w:r>
            <w:r w:rsidR="009D366F" w:rsidRPr="00334E4B">
              <w:t xml:space="preserve">в целях включения ценных бумаг в Котировальный список </w:t>
            </w:r>
            <w:r w:rsidR="009D366F" w:rsidRPr="00334E4B">
              <w:t xml:space="preserve">1 </w:t>
            </w:r>
            <w:r w:rsidR="009D366F" w:rsidRPr="00334E4B">
              <w:t>уровня</w:t>
            </w:r>
            <w:r w:rsidR="009D366F" w:rsidRPr="00334E4B">
              <w:t>.</w:t>
            </w:r>
          </w:p>
          <w:p w:rsidR="005826A8" w:rsidRPr="00334E4B" w:rsidRDefault="00334E4B">
            <w:pPr>
              <w:spacing w:before="120"/>
              <w:jc w:val="both"/>
            </w:pPr>
            <w:r>
              <w:t xml:space="preserve">1.2. </w:t>
            </w:r>
            <w:r w:rsidR="009D366F" w:rsidRPr="00334E4B">
              <w:t>Одобрить принцип</w:t>
            </w:r>
            <w:r w:rsidR="009D366F" w:rsidRPr="00334E4B">
              <w:t xml:space="preserve">, </w:t>
            </w:r>
            <w:r w:rsidR="009D366F" w:rsidRPr="00334E4B">
              <w:t>в соответствии с которым</w:t>
            </w:r>
            <w:r w:rsidR="009D366F" w:rsidRPr="00334E4B">
              <w:t xml:space="preserve">, </w:t>
            </w:r>
            <w:r w:rsidR="009D366F" w:rsidRPr="00334E4B">
              <w:t>при наличии рейтинга иностранного рейтингового агентства решение о включении ценных бумаг эмитента в Котировальн</w:t>
            </w:r>
            <w:r w:rsidR="009D366F" w:rsidRPr="00334E4B">
              <w:t xml:space="preserve">ый список </w:t>
            </w:r>
            <w:r w:rsidR="009D366F" w:rsidRPr="00334E4B">
              <w:t xml:space="preserve">1 </w:t>
            </w:r>
            <w:r w:rsidR="009D366F" w:rsidRPr="00334E4B">
              <w:t>уровня принимается без рекомендации Комитета по ценным бумагам с фиксированным доходом ЗАО «ФБ ММВБ» при соответсвии требованиям Правил листинга ЗАО «ФБ ММВБ»</w:t>
            </w:r>
            <w:r w:rsidR="009D366F" w:rsidRPr="00334E4B">
              <w:t>.</w:t>
            </w:r>
          </w:p>
          <w:p w:rsidR="005826A8" w:rsidRPr="00334E4B" w:rsidRDefault="00334E4B">
            <w:pPr>
              <w:spacing w:before="120"/>
              <w:jc w:val="both"/>
            </w:pPr>
            <w:r>
              <w:t xml:space="preserve">1.3. </w:t>
            </w:r>
            <w:r w:rsidR="009D366F" w:rsidRPr="00334E4B">
              <w:t xml:space="preserve">Рекомендовать ЗАО «ФБ ММВБ» в целях включения ценных бумаг эмитентов </w:t>
            </w:r>
            <w:r w:rsidR="009D366F" w:rsidRPr="00334E4B">
              <w:t>(</w:t>
            </w:r>
            <w:r w:rsidR="009D366F" w:rsidRPr="00334E4B">
              <w:t xml:space="preserve">при </w:t>
            </w:r>
            <w:r w:rsidR="009D366F" w:rsidRPr="00334E4B">
              <w:t>наличии рейтингов только от национальных рейтинговых агентств</w:t>
            </w:r>
            <w:r w:rsidR="009D366F" w:rsidRPr="00334E4B">
              <w:t xml:space="preserve">) </w:t>
            </w:r>
            <w:r w:rsidR="009D366F" w:rsidRPr="00334E4B">
              <w:t xml:space="preserve">в Котировальный список </w:t>
            </w:r>
            <w:r w:rsidR="009D366F" w:rsidRPr="00334E4B">
              <w:t xml:space="preserve">1 </w:t>
            </w:r>
            <w:r w:rsidR="009D366F" w:rsidRPr="00334E4B">
              <w:t>уровня учитывать рекомендации Комитета по ценным бумагам с фиксированным доходам ЗАО «ФБ ММВБ»</w:t>
            </w:r>
            <w:r w:rsidR="009D366F" w:rsidRPr="00334E4B">
              <w:t xml:space="preserve">. </w:t>
            </w:r>
            <w:r w:rsidR="009D366F" w:rsidRPr="00334E4B">
              <w:t>При отсутствии такой рекомендации</w:t>
            </w:r>
            <w:r w:rsidR="009D366F" w:rsidRPr="00334E4B">
              <w:t xml:space="preserve">, </w:t>
            </w:r>
            <w:r w:rsidR="009D366F" w:rsidRPr="00334E4B">
              <w:t>ЗАО «ФБ ММВБ» вправе отказать во вклю</w:t>
            </w:r>
            <w:r w:rsidR="009D366F" w:rsidRPr="00334E4B">
              <w:t xml:space="preserve">чении в Котировальный список </w:t>
            </w:r>
            <w:r w:rsidR="009D366F" w:rsidRPr="00334E4B">
              <w:t xml:space="preserve">1 </w:t>
            </w:r>
            <w:r w:rsidR="009D366F" w:rsidRPr="00334E4B">
              <w:t xml:space="preserve">уровня </w:t>
            </w:r>
            <w:r w:rsidR="009D366F" w:rsidRPr="00334E4B">
              <w:t>/</w:t>
            </w:r>
            <w:r w:rsidR="009D366F" w:rsidRPr="00334E4B">
              <w:t xml:space="preserve">допуске к размещению в Котировальном списке </w:t>
            </w:r>
            <w:r w:rsidR="009D366F" w:rsidRPr="00334E4B">
              <w:t xml:space="preserve">1 </w:t>
            </w:r>
            <w:r w:rsidR="009D366F" w:rsidRPr="00334E4B">
              <w:t>уровня</w:t>
            </w:r>
            <w:r w:rsidR="009D366F" w:rsidRPr="00334E4B">
              <w:t>.</w:t>
            </w:r>
          </w:p>
        </w:tc>
      </w:tr>
      <w:tr w:rsidR="005826A8" w:rsidRPr="0033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A8" w:rsidRPr="00334E4B" w:rsidRDefault="009D366F">
            <w:pPr>
              <w:spacing w:after="120"/>
              <w:jc w:val="center"/>
            </w:pPr>
            <w:r w:rsidRPr="00334E4B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pPr>
              <w:pStyle w:val="a6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34E4B">
              <w:rPr>
                <w:b/>
                <w:bCs/>
                <w:sz w:val="24"/>
                <w:szCs w:val="24"/>
              </w:rPr>
              <w:t xml:space="preserve">Вопрос </w:t>
            </w:r>
            <w:r w:rsidRPr="00334E4B">
              <w:rPr>
                <w:b/>
                <w:bCs/>
                <w:sz w:val="24"/>
                <w:szCs w:val="24"/>
              </w:rPr>
              <w:t xml:space="preserve">3 </w:t>
            </w:r>
            <w:r w:rsidRPr="00334E4B">
              <w:rPr>
                <w:b/>
                <w:bCs/>
                <w:sz w:val="24"/>
                <w:szCs w:val="24"/>
              </w:rPr>
              <w:t>повестки дня</w:t>
            </w:r>
            <w:r w:rsidRPr="00334E4B">
              <w:rPr>
                <w:b/>
                <w:bCs/>
                <w:sz w:val="24"/>
                <w:szCs w:val="24"/>
              </w:rPr>
              <w:t xml:space="preserve">: </w:t>
            </w:r>
            <w:r w:rsidRPr="00334E4B">
              <w:rPr>
                <w:b/>
                <w:bCs/>
                <w:sz w:val="24"/>
                <w:szCs w:val="24"/>
              </w:rPr>
              <w:t>О выработке подходов при формировании новой редакции Правил листинга</w:t>
            </w:r>
            <w:r w:rsidRPr="00334E4B">
              <w:rPr>
                <w:sz w:val="24"/>
                <w:szCs w:val="24"/>
              </w:rPr>
              <w:t xml:space="preserve"> </w:t>
            </w:r>
            <w:r w:rsidRPr="00334E4B">
              <w:rPr>
                <w:b/>
                <w:bCs/>
                <w:sz w:val="24"/>
                <w:szCs w:val="24"/>
              </w:rPr>
              <w:t>ЗАО «ФБ ММВБ»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A8" w:rsidRPr="00334E4B" w:rsidRDefault="009D366F">
            <w:r w:rsidRPr="00334E4B">
              <w:t xml:space="preserve">Одобрить следующие подходы при формировании новой </w:t>
            </w:r>
            <w:r w:rsidRPr="00334E4B">
              <w:t>редакции Правил листинга ЗАО «ФБ ММВБ»</w:t>
            </w:r>
            <w:r w:rsidRPr="00334E4B">
              <w:t>:</w:t>
            </w:r>
          </w:p>
          <w:p w:rsidR="005826A8" w:rsidRPr="00334E4B" w:rsidRDefault="009D366F">
            <w:r w:rsidRPr="00334E4B">
              <w:rPr>
                <w:b/>
                <w:bCs/>
              </w:rPr>
              <w:t> </w:t>
            </w:r>
          </w:p>
          <w:p w:rsidR="005826A8" w:rsidRPr="00334E4B" w:rsidRDefault="009D366F">
            <w:pPr>
              <w:pStyle w:val="a7"/>
              <w:numPr>
                <w:ilvl w:val="0"/>
                <w:numId w:val="3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Правила вводится возможность ЗАО «ФБ ММВБ» отказать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826A8" w:rsidRPr="00334E4B" w:rsidRDefault="009D366F">
            <w:pPr>
              <w:pStyle w:val="a7"/>
              <w:numPr>
                <w:ilvl w:val="0"/>
                <w:numId w:val="6"/>
              </w:numPr>
              <w:tabs>
                <w:tab w:val="clear" w:pos="851"/>
                <w:tab w:val="num" w:pos="827"/>
              </w:tabs>
              <w:spacing w:after="0" w:line="240" w:lineRule="auto"/>
              <w:ind w:left="827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во включении в список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6A8" w:rsidRPr="00334E4B" w:rsidRDefault="009D366F">
            <w:pPr>
              <w:pStyle w:val="a7"/>
              <w:numPr>
                <w:ilvl w:val="0"/>
                <w:numId w:val="7"/>
              </w:numPr>
              <w:tabs>
                <w:tab w:val="clear" w:pos="851"/>
                <w:tab w:val="num" w:pos="827"/>
              </w:tabs>
              <w:spacing w:after="0" w:line="240" w:lineRule="auto"/>
              <w:ind w:left="827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во включении в Котировальный список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26A8" w:rsidRPr="00334E4B" w:rsidRDefault="009D366F">
            <w:pPr>
              <w:jc w:val="both"/>
            </w:pPr>
            <w:r w:rsidRPr="00334E4B">
              <w:rPr>
                <w:b/>
                <w:bCs/>
              </w:rPr>
              <w:t> </w:t>
            </w:r>
          </w:p>
          <w:p w:rsidR="005826A8" w:rsidRPr="00334E4B" w:rsidRDefault="009D366F">
            <w:pPr>
              <w:pStyle w:val="a7"/>
              <w:numPr>
                <w:ilvl w:val="0"/>
                <w:numId w:val="3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ЗАО «ФБ ММВБ» принимает решение об отказе во включении в Котировальный список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основании рекомендаций Комитета по ценным бумагам с фиксированным доходом ЗАО «ФБ ММВБ»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«мотивированное решение»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5826A8" w:rsidRPr="00334E4B" w:rsidRDefault="009D366F">
            <w:pPr>
              <w:jc w:val="both"/>
            </w:pPr>
            <w:r w:rsidRPr="00334E4B">
              <w:t> </w:t>
            </w:r>
          </w:p>
          <w:p w:rsidR="005826A8" w:rsidRPr="00334E4B" w:rsidRDefault="009D366F">
            <w:pPr>
              <w:pStyle w:val="a7"/>
              <w:numPr>
                <w:ilvl w:val="0"/>
                <w:numId w:val="3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Правилах предусматривается возможность установления ЗАО «ФБ ММВБ» моратория на применение рейтингов отдельных агентств на заданный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по рекомендации Комитета по ценным бумагам с фиксированным доходом ЗАО «ФБ ММВБ»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26A8" w:rsidRPr="00334E4B" w:rsidRDefault="009D366F">
            <w:pPr>
              <w:pStyle w:val="a7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826A8" w:rsidRPr="00334E4B" w:rsidRDefault="009D366F">
            <w:pPr>
              <w:pStyle w:val="a7"/>
              <w:numPr>
                <w:ilvl w:val="0"/>
                <w:numId w:val="3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Переходные положения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5826A8" w:rsidRPr="00334E4B" w:rsidRDefault="009D366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ЗАО «ФБ ММВБ»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сохраняет текущий уровень листинга для всех выпусков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допущенных на дату вступления в силу Правил листинга ЗАО «ФБ ММВБ»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Одновременно с этим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ЗАО «ФБ ММВБ» инициирует процедуру вынесения рекомендаций по данным выпускам со стороны Комитета по ценным бумагам с фиксированным доходом ЗАО «ФБ ММВБ» на основании уточненных рейтингов в следующем порядке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26A8" w:rsidRPr="00334E4B" w:rsidRDefault="009D366F">
            <w:pPr>
              <w:pStyle w:val="a7"/>
              <w:numPr>
                <w:ilvl w:val="0"/>
                <w:numId w:val="10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ЗАО «ФБ ММВБ»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просит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рейтинговые агентства подтвердить текущий уровень рейтинга эмитентов из Котировального списка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уровня в срок не позднее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15.01.2015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с предоставлением ЗАО «ФБ ММВБ»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 и членам Комитета по ценным бумагам с фиксированным доходом ЗАО «ФБ ММВБ» рейтинговых закл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ючений по согласованию с эмитентом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6A8" w:rsidRPr="00334E4B" w:rsidRDefault="009D366F">
            <w:pPr>
              <w:pStyle w:val="a7"/>
              <w:numPr>
                <w:ilvl w:val="0"/>
                <w:numId w:val="10"/>
              </w:numPr>
              <w:tabs>
                <w:tab w:val="clear" w:pos="284"/>
                <w:tab w:val="num" w:pos="260"/>
              </w:tabs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ЗАО «ФБ ММВБ» в срок до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01.02.2014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вынести на рассмотрение Комитета по ценным бумагам с фиксированным доходом ЗАО «ФБ ММВБ» вопрос о вынесении</w:t>
            </w:r>
            <w:r w:rsidRPr="0033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исключению или сохранению облигаций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в Котировальном списке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33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26A8" w:rsidRPr="00334E4B" w:rsidRDefault="009D366F">
      <w:pPr>
        <w:widowControl w:val="0"/>
        <w:ind w:right="357"/>
        <w:jc w:val="both"/>
      </w:pPr>
      <w:r w:rsidRPr="00334E4B">
        <w:br/>
      </w:r>
    </w:p>
    <w:sectPr w:rsidR="005826A8" w:rsidRPr="00334E4B">
      <w:headerReference w:type="default" r:id="rId8"/>
      <w:footerReference w:type="default" r:id="rId9"/>
      <w:pgSz w:w="16840" w:h="11900" w:orient="landscape"/>
      <w:pgMar w:top="147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6F" w:rsidRDefault="009D366F">
      <w:r>
        <w:separator/>
      </w:r>
    </w:p>
  </w:endnote>
  <w:endnote w:type="continuationSeparator" w:id="0">
    <w:p w:rsidR="009D366F" w:rsidRDefault="009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A8" w:rsidRDefault="009D366F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6F" w:rsidRDefault="009D366F">
      <w:r>
        <w:separator/>
      </w:r>
    </w:p>
  </w:footnote>
  <w:footnote w:type="continuationSeparator" w:id="0">
    <w:p w:rsidR="009D366F" w:rsidRDefault="009D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A8" w:rsidRDefault="005826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BF2"/>
    <w:multiLevelType w:val="multilevel"/>
    <w:tmpl w:val="82C67D6A"/>
    <w:styleLink w:val="List1"/>
    <w:lvl w:ilvl="0">
      <w:numFmt w:val="bullet"/>
      <w:lvlText w:val="•"/>
      <w:lvlJc w:val="left"/>
      <w:pPr>
        <w:tabs>
          <w:tab w:val="num" w:pos="851"/>
        </w:tabs>
        <w:ind w:left="851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">
    <w:nsid w:val="0C91414D"/>
    <w:multiLevelType w:val="multilevel"/>
    <w:tmpl w:val="BF42DC0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F9C089F"/>
    <w:multiLevelType w:val="multilevel"/>
    <w:tmpl w:val="CC8CA88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4156AD6"/>
    <w:multiLevelType w:val="multilevel"/>
    <w:tmpl w:val="DA663D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">
    <w:nsid w:val="3263350B"/>
    <w:multiLevelType w:val="multilevel"/>
    <w:tmpl w:val="24D2F7B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5587611F"/>
    <w:multiLevelType w:val="multilevel"/>
    <w:tmpl w:val="768C591C"/>
    <w:styleLink w:val="List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60E207A4"/>
    <w:multiLevelType w:val="multilevel"/>
    <w:tmpl w:val="7DA0D750"/>
    <w:styleLink w:val="2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66B61F25"/>
    <w:multiLevelType w:val="multilevel"/>
    <w:tmpl w:val="F15636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8">
    <w:nsid w:val="68A83971"/>
    <w:multiLevelType w:val="multilevel"/>
    <w:tmpl w:val="B6349330"/>
    <w:lvl w:ilvl="0">
      <w:numFmt w:val="bullet"/>
      <w:lvlText w:val="•"/>
      <w:lvlJc w:val="left"/>
      <w:pPr>
        <w:tabs>
          <w:tab w:val="num" w:pos="851"/>
        </w:tabs>
        <w:ind w:left="851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9">
    <w:nsid w:val="702B6DAC"/>
    <w:multiLevelType w:val="multilevel"/>
    <w:tmpl w:val="4CA0E9A6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26A8"/>
    <w:rsid w:val="0006289B"/>
    <w:rsid w:val="00334E4B"/>
    <w:rsid w:val="005826A8"/>
    <w:rsid w:val="009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text3">
    <w:name w:val="bodytext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Body Text Indent"/>
    <w:pPr>
      <w:spacing w:after="120"/>
      <w:ind w:left="283"/>
    </w:pPr>
    <w:rPr>
      <w:rFonts w:eastAsia="Times New Roman"/>
      <w:color w:val="000000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7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10"/>
      </w:numPr>
    </w:pPr>
  </w:style>
  <w:style w:type="numbering" w:customStyle="1" w:styleId="3">
    <w:name w:val="Импортированный стиль 3"/>
  </w:style>
  <w:style w:type="paragraph" w:styleId="a8">
    <w:name w:val="Balloon Text"/>
    <w:basedOn w:val="a"/>
    <w:link w:val="a9"/>
    <w:uiPriority w:val="99"/>
    <w:semiHidden/>
    <w:unhideWhenUsed/>
    <w:rsid w:val="0033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E4B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text3">
    <w:name w:val="bodytext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Body Text Indent"/>
    <w:pPr>
      <w:spacing w:after="120"/>
      <w:ind w:left="283"/>
    </w:pPr>
    <w:rPr>
      <w:rFonts w:eastAsia="Times New Roman"/>
      <w:color w:val="000000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7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10"/>
      </w:numPr>
    </w:pPr>
  </w:style>
  <w:style w:type="numbering" w:customStyle="1" w:styleId="3">
    <w:name w:val="Импортированный стиль 3"/>
  </w:style>
  <w:style w:type="paragraph" w:styleId="a8">
    <w:name w:val="Balloon Text"/>
    <w:basedOn w:val="a"/>
    <w:link w:val="a9"/>
    <w:uiPriority w:val="99"/>
    <w:semiHidden/>
    <w:unhideWhenUsed/>
    <w:rsid w:val="0033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E4B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Васькина Анастасия Юрьевна</cp:lastModifiedBy>
  <cp:revision>3</cp:revision>
  <dcterms:created xsi:type="dcterms:W3CDTF">2014-12-24T04:49:00Z</dcterms:created>
  <dcterms:modified xsi:type="dcterms:W3CDTF">2014-12-24T04:51:00Z</dcterms:modified>
</cp:coreProperties>
</file>