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0B08" w14:textId="6B945DBA" w:rsidR="00EF2E69" w:rsidRPr="00C23191" w:rsidRDefault="00ED3BB4" w:rsidP="00061DA3">
      <w:pPr>
        <w:shd w:val="clear" w:color="auto" w:fill="FFFFFF"/>
        <w:spacing w:before="120" w:after="0" w:line="240" w:lineRule="auto"/>
        <w:jc w:val="both"/>
        <w:rPr>
          <w:rStyle w:val="apple-converted-space"/>
          <w:rFonts w:cs="Arial"/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  <w:r>
        <w:rPr>
          <w:rStyle w:val="apple-converted-space"/>
          <w:rFonts w:cs="Arial"/>
          <w:b/>
          <w:color w:val="000000" w:themeColor="text1"/>
          <w:sz w:val="28"/>
          <w:szCs w:val="28"/>
          <w:lang w:val="en-US"/>
        </w:rPr>
        <w:t>Technological changes at</w:t>
      </w:r>
      <w:r w:rsidR="00D01AD4">
        <w:rPr>
          <w:rStyle w:val="apple-converted-space"/>
          <w:rFonts w:cs="Arial"/>
          <w:b/>
          <w:color w:val="000000" w:themeColor="text1"/>
          <w:sz w:val="28"/>
          <w:szCs w:val="28"/>
          <w:lang w:val="en-US"/>
        </w:rPr>
        <w:t xml:space="preserve"> </w:t>
      </w:r>
      <w:r w:rsidR="00B2754D">
        <w:rPr>
          <w:rStyle w:val="apple-converted-space"/>
          <w:rFonts w:cs="Arial"/>
          <w:b/>
          <w:color w:val="000000" w:themeColor="text1"/>
          <w:sz w:val="28"/>
          <w:szCs w:val="28"/>
          <w:lang w:val="en-US"/>
        </w:rPr>
        <w:t xml:space="preserve">MOEX </w:t>
      </w:r>
      <w:r>
        <w:rPr>
          <w:rStyle w:val="apple-converted-space"/>
          <w:rFonts w:cs="Arial"/>
          <w:b/>
          <w:color w:val="000000" w:themeColor="text1"/>
          <w:sz w:val="28"/>
          <w:szCs w:val="28"/>
          <w:lang w:val="en-US"/>
        </w:rPr>
        <w:t>Derivatives</w:t>
      </w:r>
    </w:p>
    <w:p w14:paraId="61FDF2B8" w14:textId="510889AE" w:rsidR="00AB6631" w:rsidRDefault="005F0DF0" w:rsidP="00061DA3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426" w:hanging="426"/>
        <w:jc w:val="both"/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</w:rPr>
      </w:pPr>
      <w:r w:rsidRPr="00047486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Automatic exercise</w:t>
      </w:r>
      <w:r w:rsidR="00047486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;</w:t>
      </w:r>
    </w:p>
    <w:p w14:paraId="66555B40" w14:textId="58C44D08" w:rsidR="00176CF3" w:rsidRPr="006E451E" w:rsidRDefault="00C34B7D" w:rsidP="00DE4F2B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426" w:hanging="426"/>
        <w:jc w:val="both"/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C34B7D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How unexercised options affect settlement</w:t>
      </w:r>
      <w:r w:rsidR="00047486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;</w:t>
      </w:r>
    </w:p>
    <w:p w14:paraId="739AA15B" w14:textId="59B3B922" w:rsidR="00E52004" w:rsidRPr="006E451E" w:rsidRDefault="00C34B7D" w:rsidP="00DE4F2B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426" w:hanging="426"/>
        <w:jc w:val="both"/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C34B7D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Changes to risk management under automatic exercise</w:t>
      </w:r>
      <w:r w:rsidR="00047486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;</w:t>
      </w:r>
    </w:p>
    <w:p w14:paraId="0E2D0A9C" w14:textId="40F6CE1C" w:rsidR="00E52004" w:rsidRPr="006530B4" w:rsidRDefault="00047486" w:rsidP="00061DA3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426" w:hanging="426"/>
        <w:jc w:val="both"/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</w:rPr>
      </w:pPr>
      <w:proofErr w:type="spellStart"/>
      <w:r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Weekly</w:t>
      </w:r>
      <w:r w:rsidR="004E02DB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proofErr w:type="spellEnd"/>
      <w:r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options;</w:t>
      </w:r>
    </w:p>
    <w:p w14:paraId="70FCC189" w14:textId="3EAF3A8D" w:rsidR="006530B4" w:rsidRPr="006E451E" w:rsidRDefault="006530B4" w:rsidP="00061DA3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426" w:hanging="426"/>
        <w:jc w:val="both"/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New </w:t>
      </w:r>
      <w:r w:rsidR="00C84A72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expiration </w:t>
      </w:r>
      <w:r w:rsidR="000E11E0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time for USD</w:t>
      </w:r>
      <w:r w:rsidR="000E11E0" w:rsidRPr="006E451E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/</w:t>
      </w:r>
      <w:r w:rsidR="000E11E0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RUB</w:t>
      </w:r>
      <w:r w:rsidR="000E11E0" w:rsidRPr="006E451E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and </w:t>
      </w:r>
      <w:r w:rsidR="000E11E0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EUR</w:t>
      </w:r>
      <w:r w:rsidR="000E11E0" w:rsidRPr="006E451E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/</w:t>
      </w:r>
      <w:r w:rsidR="000E11E0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  <w:t>RUB futures and options.</w:t>
      </w:r>
    </w:p>
    <w:p w14:paraId="2B998DD2" w14:textId="77777777" w:rsidR="005F0DF0" w:rsidRPr="006E451E" w:rsidRDefault="005F0DF0" w:rsidP="005F0DF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14:paraId="3CE27E3E" w14:textId="77777777" w:rsidR="00AB6631" w:rsidRPr="002269BF" w:rsidRDefault="000E11E0" w:rsidP="00061DA3">
      <w:pPr>
        <w:pStyle w:val="a3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</w:rPr>
      </w:pPr>
      <w:proofErr w:type="spellStart"/>
      <w:r w:rsidRPr="00EF5FF3"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</w:rPr>
        <w:t>Section</w:t>
      </w:r>
      <w:proofErr w:type="spellEnd"/>
      <w:r w:rsidR="00E43A76" w:rsidRPr="002269BF"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</w:rPr>
        <w:t xml:space="preserve"> 1. </w:t>
      </w:r>
      <w:proofErr w:type="spellStart"/>
      <w:r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</w:rPr>
        <w:t>Automatic</w:t>
      </w:r>
      <w:proofErr w:type="spellEnd"/>
      <w:r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</w:rPr>
        <w:t>exercise</w:t>
      </w:r>
      <w:proofErr w:type="spellEnd"/>
    </w:p>
    <w:p w14:paraId="5811D8E7" w14:textId="6587FBC8" w:rsidR="00AD1A83" w:rsidRPr="006E451E" w:rsidRDefault="00800717" w:rsidP="00061DA3">
      <w:pPr>
        <w:pStyle w:val="a3"/>
        <w:numPr>
          <w:ilvl w:val="1"/>
          <w:numId w:val="15"/>
        </w:numPr>
        <w:shd w:val="clear" w:color="auto" w:fill="FFFFFF"/>
        <w:spacing w:before="120" w:beforeAutospacing="0" w:after="0" w:afterAutospacing="0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Moscow Exchange Derivatives is completely revamping its approach to options </w:t>
      </w:r>
      <w:r w:rsidR="00926EE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exercise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. </w:t>
      </w:r>
      <w:r w:rsidR="00A56CB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Going forward, a</w:t>
      </w:r>
      <w:r w:rsidR="0058709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ll </w:t>
      </w:r>
      <w:r w:rsidR="002F017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in the money</w:t>
      </w:r>
      <w:r w:rsidR="005A08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(</w:t>
      </w:r>
      <w:r w:rsidR="00080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ITM</w:t>
      </w:r>
      <w:r w:rsidR="005A08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) </w:t>
      </w:r>
      <w:r w:rsidR="0058709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options on the Derivatives Market will be exercised automatically.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following </w:t>
      </w:r>
      <w:r w:rsidR="007B52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list of features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highlight</w:t>
      </w:r>
      <w:r w:rsidR="007B52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some of the key aspects of the new </w:t>
      </w:r>
      <w:r w:rsidR="0058709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automatic exercise algorithm.</w:t>
      </w:r>
    </w:p>
    <w:p w14:paraId="3FBB0197" w14:textId="31C87BC0" w:rsidR="00AD1A83" w:rsidRPr="006E451E" w:rsidRDefault="00587099" w:rsidP="00061DA3">
      <w:pPr>
        <w:pStyle w:val="a3"/>
        <w:numPr>
          <w:ilvl w:val="0"/>
          <w:numId w:val="17"/>
        </w:numPr>
        <w:shd w:val="clear" w:color="auto" w:fill="FFFFFF"/>
        <w:spacing w:before="120" w:beforeAutospacing="0" w:after="0" w:afterAutospacing="0"/>
        <w:ind w:hanging="294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The change a</w:t>
      </w:r>
      <w:r w:rsidR="002645D4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ppl</w:t>
      </w:r>
      <w:r w:rsidR="00CC484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ies</w:t>
      </w:r>
      <w:r w:rsidR="002645D4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to all </w:t>
      </w:r>
      <w:r w:rsidR="007B52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traded </w:t>
      </w:r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options (</w:t>
      </w:r>
      <w:r w:rsidR="0027597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i.e. </w:t>
      </w:r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all </w:t>
      </w:r>
      <w:proofErr w:type="spellStart"/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underlying</w:t>
      </w:r>
      <w:r w:rsidR="00BB35F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proofErr w:type="spellEnd"/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27597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and</w:t>
      </w:r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all </w:t>
      </w:r>
      <w:r w:rsidR="007B52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options types</w:t>
      </w:r>
      <w:r w:rsidR="0027597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 including</w:t>
      </w:r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A1529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Q</w:t>
      </w:r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uarter</w:t>
      </w:r>
      <w:r w:rsidR="007B52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ly</w:t>
      </w:r>
      <w:r w:rsidR="00906F4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proofErr w:type="spellEnd"/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A1529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</w:t>
      </w:r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onth</w:t>
      </w:r>
      <w:r w:rsidR="007B52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ly</w:t>
      </w:r>
      <w:r w:rsidR="00906F4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proofErr w:type="spellEnd"/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EF5FF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and </w:t>
      </w:r>
      <w:proofErr w:type="spellStart"/>
      <w:r w:rsidR="00A1529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W</w:t>
      </w:r>
      <w:r w:rsidR="00EF5FF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eek</w:t>
      </w:r>
      <w:r w:rsidR="007B52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ly</w:t>
      </w:r>
      <w:r w:rsidR="00906F4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proofErr w:type="spellEnd"/>
      <w:r w:rsidR="00AD1A8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).</w:t>
      </w:r>
    </w:p>
    <w:p w14:paraId="0438D85F" w14:textId="768E1B24" w:rsidR="00AD1A83" w:rsidRPr="006E451E" w:rsidRDefault="003402E4" w:rsidP="00061DA3">
      <w:pPr>
        <w:pStyle w:val="a3"/>
        <w:numPr>
          <w:ilvl w:val="0"/>
          <w:numId w:val="17"/>
        </w:numPr>
        <w:shd w:val="clear" w:color="auto" w:fill="FFFFFF"/>
        <w:spacing w:before="120" w:beforeAutospacing="0" w:after="0" w:afterAutospacing="0"/>
        <w:ind w:hanging="294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Options are exercised automatically during the </w:t>
      </w:r>
      <w:r w:rsidRPr="00DE4F2B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evening clearing session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on the contract</w:t>
      </w:r>
      <w:r w:rsidR="00B5113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’s</w:t>
      </w:r>
      <w:r w:rsidR="000225F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expir</w:t>
      </w:r>
      <w:r w:rsidR="0058709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ation</w:t>
      </w:r>
      <w:r w:rsidR="000225F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da</w:t>
      </w:r>
      <w:r w:rsidR="0058709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</w:t>
      </w:r>
      <w:r w:rsidR="00CA3E2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, with the exception of </w:t>
      </w:r>
      <w:r w:rsidR="003F164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USD/RUB</w:t>
      </w:r>
      <w:r w:rsidR="00B5113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and </w:t>
      </w:r>
      <w:r w:rsidR="003F164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EUR/RUB</w:t>
      </w:r>
      <w:r w:rsidR="00B5113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options</w:t>
      </w:r>
      <w:r w:rsidR="00CA3E2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, which </w:t>
      </w:r>
      <w:r w:rsidR="00B5113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expire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during the </w:t>
      </w:r>
      <w:r w:rsidRPr="00DE4F2B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intraday clearing session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on the contract</w:t>
      </w:r>
      <w:r w:rsidR="008A746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’s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expir</w:t>
      </w:r>
      <w:r w:rsidR="00B5113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ation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da</w:t>
      </w:r>
      <w:r w:rsidR="00B5113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</w:t>
      </w:r>
      <w:r w:rsidR="008A746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CA3E2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(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see Section 5</w:t>
      </w:r>
      <w:r w:rsidR="00B5113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for more details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).</w:t>
      </w:r>
    </w:p>
    <w:p w14:paraId="784428CE" w14:textId="145FA01B" w:rsidR="003402E4" w:rsidRPr="006E451E" w:rsidRDefault="00AD61EC" w:rsidP="00061DA3">
      <w:pPr>
        <w:pStyle w:val="a3"/>
        <w:numPr>
          <w:ilvl w:val="0"/>
          <w:numId w:val="17"/>
        </w:numPr>
        <w:shd w:val="clear" w:color="auto" w:fill="FFFFFF"/>
        <w:spacing w:before="120" w:beforeAutospacing="0" w:after="0" w:afterAutospacing="0"/>
        <w:ind w:hanging="294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ITM </w:t>
      </w:r>
      <w:r w:rsidR="00DD11B6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opti</w:t>
      </w:r>
      <w:r w:rsidR="00DC5688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ons are exercised automatically, i.e. call options with a strike </w:t>
      </w:r>
      <w:r w:rsidR="000225FA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price </w:t>
      </w:r>
      <w:r w:rsidR="000A304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below </w:t>
      </w:r>
      <w:r w:rsidR="00DC5688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79072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underlying </w:t>
      </w:r>
      <w:r w:rsidR="00DC5688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future</w:t>
      </w:r>
      <w:r w:rsidR="0079072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’</w:t>
      </w:r>
      <w:r w:rsidR="00DC5688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 settlement price</w:t>
      </w:r>
      <w:r w:rsidR="007E0C9C" w:rsidRPr="002269BF">
        <w:rPr>
          <w:rStyle w:val="ac"/>
          <w:rFonts w:asciiTheme="minorHAnsi" w:hAnsiTheme="minorHAnsi" w:cs="Arial"/>
          <w:color w:val="000000" w:themeColor="text1"/>
          <w:sz w:val="22"/>
          <w:szCs w:val="22"/>
        </w:rPr>
        <w:footnoteReference w:id="1"/>
      </w:r>
      <w:r w:rsidR="00DC5688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, and put options with a strike </w:t>
      </w:r>
      <w:r w:rsidR="000225FA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price </w:t>
      </w:r>
      <w:r w:rsidR="00F71B5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above </w:t>
      </w:r>
      <w:r w:rsidR="00DC5688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79072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underlying </w:t>
      </w:r>
      <w:r w:rsidR="00DC5688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future</w:t>
      </w:r>
      <w:r w:rsidR="0079072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’</w:t>
      </w:r>
      <w:r w:rsidR="00DC5688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 settlement price</w:t>
      </w:r>
      <w:r w:rsidR="007E0C9C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14:paraId="113153E8" w14:textId="3DFD2146" w:rsidR="00B73E27" w:rsidRPr="006E451E" w:rsidRDefault="00C61EBE" w:rsidP="00061DA3">
      <w:pPr>
        <w:pStyle w:val="a3"/>
        <w:numPr>
          <w:ilvl w:val="0"/>
          <w:numId w:val="17"/>
        </w:numPr>
        <w:shd w:val="clear" w:color="auto" w:fill="FFFFFF"/>
        <w:spacing w:before="120" w:beforeAutospacing="0" w:after="0" w:afterAutospacing="0"/>
        <w:ind w:hanging="294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With</w:t>
      </w:r>
      <w:r w:rsidR="00C2202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AD61E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ATM</w:t>
      </w:r>
      <w:r w:rsidR="00512B5D">
        <w:rPr>
          <w:rStyle w:val="ac"/>
          <w:rFonts w:asciiTheme="minorHAnsi" w:hAnsiTheme="minorHAnsi" w:cs="Arial"/>
          <w:color w:val="000000" w:themeColor="text1"/>
          <w:sz w:val="22"/>
          <w:szCs w:val="22"/>
          <w:lang w:val="en-US"/>
        </w:rPr>
        <w:footnoteReference w:id="2"/>
      </w:r>
      <w:r w:rsidR="007E0C9C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options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</w:t>
      </w:r>
      <w:r w:rsidR="00DC71B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CA5FD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exactly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Pr="00DE4F2B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half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of the position is </w:t>
      </w:r>
      <w:r w:rsidR="00DC71B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exercised automatically</w:t>
      </w:r>
      <w:r w:rsidR="00FC2F55" w:rsidRPr="002269BF">
        <w:rPr>
          <w:rStyle w:val="ac"/>
          <w:rFonts w:asciiTheme="minorHAnsi" w:hAnsiTheme="minorHAnsi" w:cs="Arial"/>
          <w:color w:val="000000" w:themeColor="text1"/>
          <w:sz w:val="22"/>
          <w:szCs w:val="22"/>
        </w:rPr>
        <w:footnoteReference w:id="3"/>
      </w:r>
      <w:r w:rsidR="00901B01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. </w:t>
      </w:r>
      <w:r w:rsidR="0083470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If </w:t>
      </w:r>
      <w:r w:rsidR="00296B6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half of the </w:t>
      </w:r>
      <w:r w:rsidR="007558B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options </w:t>
      </w:r>
      <w:r w:rsidR="00296B6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position is not a whole </w:t>
      </w:r>
      <w:r w:rsidR="00834702" w:rsidRPr="0083470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number, </w:t>
      </w:r>
      <w:r w:rsidR="00230186" w:rsidRPr="0083470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for calls </w:t>
      </w:r>
      <w:r w:rsidR="00D5146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EF5FF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amount</w:t>
      </w:r>
      <w:r w:rsidR="00834702" w:rsidRPr="0083470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to be exercised is rounded up </w:t>
      </w:r>
      <w:r w:rsidR="004276E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to the nearest integer </w:t>
      </w:r>
      <w:r w:rsidR="0083470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(0.5 = 1), </w:t>
      </w:r>
      <w:r w:rsidR="00834702" w:rsidRPr="0083470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and </w:t>
      </w:r>
      <w:r w:rsidR="00230186" w:rsidRPr="0083470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for puts </w:t>
      </w:r>
      <w:r w:rsidR="0023018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it is </w:t>
      </w:r>
      <w:r w:rsidR="00834702" w:rsidRPr="0083470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rounded down </w:t>
      </w:r>
      <w:r w:rsidR="00901B01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(0.5 = 0)</w:t>
      </w:r>
      <w:r w:rsidR="00061DA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14:paraId="138F3F4D" w14:textId="79038E3A" w:rsidR="001436A2" w:rsidRPr="006E451E" w:rsidRDefault="004276EA" w:rsidP="00DC15A1">
      <w:pPr>
        <w:pStyle w:val="a3"/>
        <w:shd w:val="clear" w:color="auto" w:fill="FFFFFF"/>
        <w:spacing w:before="120" w:beforeAutospacing="0" w:after="0" w:afterAutospacing="0"/>
        <w:ind w:left="1134"/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</w:pPr>
      <w:r w:rsidRPr="006E451E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Example</w:t>
      </w:r>
      <w:r w:rsidR="00061DA3" w:rsidRPr="006E451E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:</w:t>
      </w:r>
      <w:r w:rsidR="001436A2" w:rsidRPr="006E451E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276F17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A</w:t>
      </w:r>
      <w:r w:rsidR="001436A2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276F17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trader is long</w:t>
      </w:r>
      <w:r w:rsidR="001436A2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101 </w:t>
      </w:r>
      <w:r w:rsidR="00276F17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XYZ Feb 200 </w:t>
      </w:r>
      <w:r w:rsidR="001436A2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call</w:t>
      </w:r>
      <w:r w:rsidR="00A4267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s</w:t>
      </w:r>
      <w:r w:rsidR="001436A2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and </w:t>
      </w:r>
      <w:r w:rsidR="00BB013F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long </w:t>
      </w:r>
      <w:r w:rsidR="001436A2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101 </w:t>
      </w:r>
      <w:r w:rsidR="00276F17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XYZ Feb 200 </w:t>
      </w:r>
      <w:r w:rsidR="001436A2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put</w:t>
      </w:r>
      <w:r w:rsidR="00A4267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s</w:t>
      </w:r>
      <w:r w:rsidR="001436A2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. </w:t>
      </w:r>
      <w:r w:rsidR="00086FEF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If </w:t>
      </w:r>
      <w:r w:rsidR="00133FDA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XYZ </w:t>
      </w:r>
      <w:r w:rsidR="00086FEF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settle</w:t>
      </w:r>
      <w:r w:rsidR="00DC7F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s</w:t>
      </w:r>
      <w:r w:rsidR="00086FEF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at 200, 51 call</w:t>
      </w:r>
      <w:r w:rsidR="00A4267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s</w:t>
      </w:r>
      <w:r w:rsidR="00086FEF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(</w:t>
      </w:r>
      <w:proofErr w:type="spellStart"/>
      <w:r w:rsidR="00867D89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r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ound</w:t>
      </w:r>
      <w:r w:rsidR="00A32C40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_</w:t>
      </w:r>
      <w:proofErr w:type="gramStart"/>
      <w:r w:rsidR="00867D89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u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p</w:t>
      </w:r>
      <w:proofErr w:type="spellEnd"/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(</w:t>
      </w:r>
      <w:proofErr w:type="gramEnd"/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101/2;</w:t>
      </w:r>
      <w:r w:rsidR="00F14F46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0)</w:t>
      </w:r>
      <w:r w:rsidR="00F14F46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=</w:t>
      </w:r>
      <w:r w:rsidR="00F14F46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51)</w:t>
      </w:r>
      <w:r w:rsidR="00086FEF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and 50 put</w:t>
      </w:r>
      <w:r w:rsidR="00A4267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s</w:t>
      </w:r>
      <w:r w:rsidR="00086FEF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(</w:t>
      </w:r>
      <w:proofErr w:type="spellStart"/>
      <w:r w:rsidR="00867D89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r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ound</w:t>
      </w:r>
      <w:r w:rsidR="00A32C40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_</w:t>
      </w:r>
      <w:r w:rsidR="00867D89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d</w:t>
      </w:r>
      <w:r w:rsidR="00A32C40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own</w:t>
      </w:r>
      <w:proofErr w:type="spellEnd"/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(101/2;</w:t>
      </w:r>
      <w:r w:rsidR="00F14F46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0)</w:t>
      </w:r>
      <w:r w:rsidR="00F14F46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=</w:t>
      </w:r>
      <w:r w:rsidR="00F14F46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E75A6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50)</w:t>
      </w:r>
      <w:r w:rsidR="00086FEF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will be </w:t>
      </w:r>
      <w:r w:rsidR="00A4267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exercise</w:t>
      </w:r>
      <w:r w:rsidR="00F05107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d</w:t>
      </w:r>
      <w:r w:rsidR="00A4267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086FEF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automatically</w:t>
      </w:r>
      <w:r w:rsidR="00EF5FF3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.</w:t>
      </w:r>
      <w:r w:rsidR="0065700B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The trader will be left with a resulting position of long 1 XYZ</w:t>
      </w:r>
      <w:r w:rsidR="007C5453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future</w:t>
      </w:r>
      <w:r w:rsidR="0065700B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.</w:t>
      </w:r>
    </w:p>
    <w:p w14:paraId="75D8E26F" w14:textId="4224E717" w:rsidR="00525B9A" w:rsidRPr="00DE4F2B" w:rsidRDefault="00016FCF" w:rsidP="002269BF">
      <w:pPr>
        <w:pStyle w:val="a3"/>
        <w:numPr>
          <w:ilvl w:val="0"/>
          <w:numId w:val="19"/>
        </w:numPr>
        <w:shd w:val="clear" w:color="auto" w:fill="FFFFFF"/>
        <w:spacing w:before="120" w:beforeAutospacing="0" w:after="0" w:afterAutospacing="0"/>
        <w:ind w:left="709" w:hanging="283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The</w:t>
      </w:r>
      <w:r w:rsidR="00E37C2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E75A61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automatic exercise</w:t>
      </w:r>
      <w:r w:rsidR="00F470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algorithm is </w:t>
      </w:r>
      <w:r w:rsidR="00F470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not </w:t>
      </w:r>
      <w:r w:rsidR="003616E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customizable;</w:t>
      </w:r>
      <w:r w:rsidR="00E75A61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however, </w:t>
      </w:r>
      <w:r w:rsidR="00F4701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brokerage firms </w:t>
      </w:r>
      <w:r w:rsidR="00E75A61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may </w:t>
      </w:r>
      <w:r w:rsidR="007E3B4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impose </w:t>
      </w:r>
      <w:r w:rsidR="00D0406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certain </w:t>
      </w:r>
      <w:r w:rsidR="00A80F5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restrictions</w:t>
      </w:r>
      <w:r w:rsidR="006A2198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7E3B4D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on</w:t>
      </w:r>
      <w:r w:rsidR="00E75A61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D7707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their </w:t>
      </w:r>
      <w:r w:rsidR="00EF5FF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clients</w:t>
      </w:r>
      <w:r w:rsidR="007E3B4D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794B2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(</w:t>
      </w:r>
      <w:r w:rsidR="007E3B4D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see clauses 3 and 4 of this Section</w:t>
      </w:r>
      <w:r w:rsidR="009046B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for details</w:t>
      </w:r>
      <w:r w:rsidR="00E75A61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)</w:t>
      </w:r>
      <w:r w:rsidR="00525B9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</w:t>
      </w:r>
    </w:p>
    <w:p w14:paraId="4060EE27" w14:textId="1CC225BD" w:rsidR="00E75A61" w:rsidRPr="006E451E" w:rsidRDefault="00525B9A" w:rsidP="00DE4F2B">
      <w:pPr>
        <w:pStyle w:val="a3"/>
        <w:numPr>
          <w:ilvl w:val="0"/>
          <w:numId w:val="19"/>
        </w:numPr>
        <w:shd w:val="clear" w:color="auto" w:fill="FFFFFF"/>
        <w:spacing w:before="120" w:beforeAutospacing="0" w:after="0" w:afterAutospacing="0"/>
        <w:ind w:left="709" w:hanging="283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525B9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 manual request must be submitted to exercise an option early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14:paraId="62B6ABEB" w14:textId="76D86054" w:rsidR="007E3B4D" w:rsidRPr="00EE13D2" w:rsidRDefault="00A17085" w:rsidP="002269BF">
      <w:pPr>
        <w:pStyle w:val="a3"/>
        <w:shd w:val="clear" w:color="auto" w:fill="FFFFFF"/>
        <w:spacing w:before="120" w:beforeAutospacing="0" w:after="0" w:afterAutospacing="0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As a </w:t>
      </w:r>
      <w:r w:rsidR="00EE13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remind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er,</w:t>
      </w:r>
      <w:r w:rsidR="00EE13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A515B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here is </w:t>
      </w:r>
      <w:r w:rsidR="00EE13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43007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way </w:t>
      </w:r>
      <w:r w:rsidR="00EE13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options </w:t>
      </w:r>
      <w:r w:rsidR="0043007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are </w:t>
      </w:r>
      <w:r w:rsidR="00A515B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currently </w:t>
      </w:r>
      <w:r w:rsidR="00EE13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exercise</w:t>
      </w:r>
      <w:r w:rsidR="0043007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</w:t>
      </w:r>
      <w:r w:rsidR="00EE13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:</w:t>
      </w:r>
    </w:p>
    <w:p w14:paraId="18FA95EF" w14:textId="406E543D" w:rsidR="00EE13D2" w:rsidRPr="006E451E" w:rsidRDefault="00897A46" w:rsidP="002269BF">
      <w:pPr>
        <w:pStyle w:val="a3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709" w:hanging="283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All d</w:t>
      </w:r>
      <w:r w:rsidR="000225F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eep</w:t>
      </w:r>
      <w:r w:rsidR="00FC4C56" w:rsidRPr="00DE4F2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AD61E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ITM</w:t>
      </w:r>
      <w:r w:rsidR="00461EFE">
        <w:rPr>
          <w:rStyle w:val="ac"/>
          <w:rFonts w:asciiTheme="minorHAnsi" w:hAnsiTheme="minorHAnsi" w:cs="Arial"/>
          <w:color w:val="000000" w:themeColor="text1"/>
          <w:sz w:val="22"/>
          <w:szCs w:val="22"/>
          <w:lang w:val="en-US"/>
        </w:rPr>
        <w:footnoteReference w:id="4"/>
      </w:r>
      <w:r w:rsidR="00461EF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0225F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options </w:t>
      </w:r>
      <w:r w:rsidR="000225FA"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are</w:t>
      </w:r>
      <w:r w:rsidR="000225F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exercised automatically </w:t>
      </w:r>
      <w:r w:rsidR="002673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on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2673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expiration day;</w:t>
      </w:r>
    </w:p>
    <w:p w14:paraId="1B4521CE" w14:textId="7E0ADA67" w:rsidR="002C194A" w:rsidRPr="006E451E" w:rsidRDefault="00AD61EC" w:rsidP="002269BF">
      <w:pPr>
        <w:pStyle w:val="a3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709" w:hanging="283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ITM </w:t>
      </w:r>
      <w:proofErr w:type="spellStart"/>
      <w:r w:rsidR="0069412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Q</w:t>
      </w:r>
      <w:r w:rsidR="002C194A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uarterly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proofErr w:type="spellEnd"/>
      <w:r w:rsidR="00466F20">
        <w:rPr>
          <w:rStyle w:val="ac"/>
          <w:rFonts w:asciiTheme="minorHAnsi" w:hAnsiTheme="minorHAnsi" w:cs="Arial"/>
          <w:color w:val="000000" w:themeColor="text1"/>
          <w:sz w:val="22"/>
          <w:szCs w:val="22"/>
          <w:lang w:val="en-US"/>
        </w:rPr>
        <w:footnoteReference w:id="5"/>
      </w:r>
      <w:r w:rsidR="00825F4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CE0A0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options </w:t>
      </w:r>
      <w:r w:rsidR="00825F46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on cash-settled futures</w:t>
      </w:r>
      <w:r w:rsidR="00825F4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2C194A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are </w:t>
      </w:r>
      <w:r w:rsidR="002C194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exercised automatically on</w:t>
      </w:r>
      <w:r w:rsidR="007F01A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2C194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expir</w:t>
      </w:r>
      <w:r w:rsidR="002673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ation</w:t>
      </w:r>
      <w:r w:rsidR="002C194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day</w:t>
      </w:r>
      <w:r w:rsidR="002673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</w:t>
      </w:r>
    </w:p>
    <w:p w14:paraId="1369D690" w14:textId="38C995DA" w:rsidR="0026730B" w:rsidRPr="006E451E" w:rsidRDefault="0026730B" w:rsidP="002269BF">
      <w:pPr>
        <w:pStyle w:val="a3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709" w:hanging="283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Broker</w:t>
      </w:r>
      <w:r w:rsidR="00752A1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age firms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may </w:t>
      </w:r>
      <w:r w:rsidR="004D08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customize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AE77F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automatic exercise</w:t>
      </w:r>
      <w:r w:rsidR="00AE77F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algorithm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</w:t>
      </w:r>
    </w:p>
    <w:p w14:paraId="73EFC72D" w14:textId="390DF16F" w:rsidR="00244F4A" w:rsidRDefault="00244F4A" w:rsidP="002269BF">
      <w:pPr>
        <w:pStyle w:val="a3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709" w:hanging="283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 manual</w:t>
      </w:r>
      <w:r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46467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request</w:t>
      </w:r>
      <w:r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must be submitted </w:t>
      </w:r>
      <w:r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to exercise </w:t>
      </w:r>
      <w:r w:rsidR="00F91F3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an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option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early;</w:t>
      </w:r>
    </w:p>
    <w:p w14:paraId="2B7643CB" w14:textId="688C8097" w:rsidR="00C77859" w:rsidRPr="0059312A" w:rsidRDefault="007248B5" w:rsidP="002269BF">
      <w:pPr>
        <w:pStyle w:val="a3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709" w:hanging="283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On expiration da</w:t>
      </w:r>
      <w:r w:rsidR="00436C1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y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 i</w:t>
      </w:r>
      <w:r w:rsidR="00B8462A"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f </w:t>
      </w:r>
      <w:r w:rsidR="00B846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proofErr w:type="spellStart"/>
      <w:r w:rsidR="00B846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moneyness</w:t>
      </w:r>
      <w:proofErr w:type="spellEnd"/>
      <w:r w:rsidR="00B846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of </w:t>
      </w:r>
      <w:r w:rsidR="00436C1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an expiring </w:t>
      </w:r>
      <w:r w:rsidR="00B846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option does not fulfill the Exchange</w:t>
      </w:r>
      <w:r w:rsidR="009E326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’s</w:t>
      </w:r>
      <w:r w:rsidR="00B846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or </w:t>
      </w:r>
      <w:r w:rsidR="00863CD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Broker</w:t>
      </w:r>
      <w:r w:rsidR="009E326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’s</w:t>
      </w:r>
      <w:r w:rsidR="00B846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requirements to trigger </w:t>
      </w:r>
      <w:r w:rsidR="00B8462A"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automatic exercise</w:t>
      </w:r>
      <w:r w:rsidR="00B846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 a</w:t>
      </w:r>
      <w:r w:rsidR="002E24C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manual</w:t>
      </w:r>
      <w:r w:rsidR="0059312A"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46467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request</w:t>
      </w:r>
      <w:r w:rsidR="00464675"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4D08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must be submitted </w:t>
      </w:r>
      <w:r w:rsidR="0059312A"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to exercise </w:t>
      </w:r>
      <w:r w:rsidR="00961F8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59312A" w:rsidRPr="0059312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option.</w:t>
      </w:r>
    </w:p>
    <w:p w14:paraId="338F1DD3" w14:textId="7F84FC17" w:rsidR="00C87D22" w:rsidRPr="006E451E" w:rsidRDefault="00C87D22" w:rsidP="00C87D22">
      <w:pPr>
        <w:pStyle w:val="a3"/>
        <w:numPr>
          <w:ilvl w:val="1"/>
          <w:numId w:val="15"/>
        </w:numPr>
        <w:shd w:val="clear" w:color="auto" w:fill="FFFFFF"/>
        <w:spacing w:before="150" w:beforeAutospacing="0" w:after="0" w:afterAutospacing="0" w:line="300" w:lineRule="atLeast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lastRenderedPageBreak/>
        <w:t>A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utomatic exercise </w:t>
      </w:r>
      <w:r w:rsidR="00BB3A0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may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be </w:t>
      </w:r>
      <w:r w:rsidR="00BB3A0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turned off through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trading </w:t>
      </w:r>
      <w:r w:rsidR="00BB3A0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platform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by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enter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ing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 negative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amount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BB3A0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in the </w:t>
      </w:r>
      <w:r w:rsidRPr="00B547A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“Option</w:t>
      </w:r>
      <w:r w:rsidR="00A057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r w:rsidRPr="00B547A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E91CD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Pr="00B547A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xercise </w:t>
      </w:r>
      <w:r w:rsidR="00CB4CF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Request</w:t>
      </w:r>
      <w:r w:rsidRPr="00B547A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”.  </w:t>
      </w:r>
      <w:r w:rsidR="005A088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</w:t>
      </w:r>
      <w:r w:rsidR="0071799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ny </w:t>
      </w:r>
      <w:r w:rsidR="00D57B9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quantity</w:t>
      </w:r>
      <w:r w:rsidR="0071799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5A088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of options in a portfolio may be excluded </w:t>
      </w:r>
      <w:r w:rsidR="000C214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from </w:t>
      </w:r>
      <w:r w:rsidR="00C04EB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automatic </w:t>
      </w:r>
      <w:r w:rsidR="005A088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exercise</w:t>
      </w:r>
      <w:r w:rsidR="0071799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, up to the total </w:t>
      </w:r>
      <w:r w:rsidR="000C214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amount</w:t>
      </w:r>
      <w:r w:rsidR="0071799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. </w:t>
      </w:r>
      <w:r w:rsidR="0000378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Canceling a</w:t>
      </w:r>
      <w:r w:rsidRPr="00B547A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utomatic exercise </w:t>
      </w:r>
      <w:r w:rsidR="009B2EB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is possible at any time up to </w:t>
      </w:r>
      <w:r w:rsidR="008517C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18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:50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MSK</w:t>
      </w:r>
      <w:r w:rsidR="00FE7C25" w:rsidRPr="00FE7C2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FE7C2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on </w:t>
      </w:r>
      <w:r w:rsidR="00FE7C25" w:rsidRPr="00B547A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expiration da</w:t>
      </w:r>
      <w:r w:rsidR="0002740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y</w:t>
      </w:r>
      <w:r w:rsidR="00FE7C25" w:rsidRPr="003C4981">
        <w:rPr>
          <w:rStyle w:val="ac"/>
          <w:rFonts w:asciiTheme="minorHAnsi" w:hAnsiTheme="minorHAnsi" w:cs="Arial"/>
          <w:color w:val="000000" w:themeColor="text1"/>
          <w:sz w:val="22"/>
          <w:szCs w:val="22"/>
        </w:rPr>
        <w:footnoteReference w:id="6"/>
      </w:r>
      <w:r w:rsidR="009B2EB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; </w:t>
      </w:r>
      <w:r w:rsidR="00F44AE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or</w:t>
      </w:r>
      <w:r w:rsidR="009B2EB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33384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for </w:t>
      </w:r>
      <w:r w:rsidR="0033384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USD/RUB</w:t>
      </w:r>
      <w:r w:rsidR="0033384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and E</w:t>
      </w:r>
      <w:r w:rsidR="0033384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UR/RUB</w:t>
      </w:r>
      <w:r w:rsidR="0033384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options</w:t>
      </w:r>
      <w:r w:rsidR="0033384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</w:t>
      </w:r>
      <w:r w:rsidR="0033384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001F1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up to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2502B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14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:00 MSK </w:t>
      </w:r>
      <w:r w:rsidR="009B2EB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(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see Section 5</w:t>
      </w:r>
      <w:r w:rsidR="009B2EB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for more details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).</w:t>
      </w:r>
    </w:p>
    <w:p w14:paraId="14780611" w14:textId="6654CACA" w:rsidR="00C87D22" w:rsidRPr="006E451E" w:rsidRDefault="00C87D22" w:rsidP="00C87D22">
      <w:pPr>
        <w:pStyle w:val="a3"/>
        <w:numPr>
          <w:ilvl w:val="1"/>
          <w:numId w:val="15"/>
        </w:numPr>
        <w:shd w:val="clear" w:color="auto" w:fill="FFFFFF"/>
        <w:spacing w:before="150" w:beforeAutospacing="0" w:after="0" w:afterAutospacing="0" w:line="300" w:lineRule="atLeast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Brokers </w:t>
      </w:r>
      <w:r w:rsidR="001D46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may </w:t>
      </w:r>
      <w:r w:rsidR="00E243C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restrict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1D46D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clients </w:t>
      </w:r>
      <w:r w:rsidR="001D46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from altering </w:t>
      </w:r>
      <w:r w:rsidR="0027016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1D46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options exercise settings</w:t>
      </w:r>
      <w:r w:rsidR="003E5D8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, </w:t>
      </w:r>
      <w:r w:rsidR="008B3AB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including </w:t>
      </w:r>
      <w:r w:rsidR="001D46D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early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or automatic exerc</w:t>
      </w:r>
      <w:r w:rsidR="001F363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ise</w:t>
      </w:r>
      <w:r w:rsidR="0019691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</w:t>
      </w:r>
      <w:r w:rsidR="00FB10C3" w:rsidRPr="00FB10C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19691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in which case </w:t>
      </w:r>
      <w:r w:rsidR="00FB10C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617DC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Exchange’s </w:t>
      </w:r>
      <w:r w:rsidR="00FB10C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default </w:t>
      </w:r>
      <w:r w:rsidR="000B0FB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settings </w:t>
      </w:r>
      <w:r w:rsidR="00FB10C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would apply</w:t>
      </w:r>
      <w:r w:rsidR="00FB10C3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  <w:r w:rsidR="00E9169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3E5D8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Clients </w:t>
      </w:r>
      <w:r w:rsidR="004B3F0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would need to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contact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their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broker </w:t>
      </w:r>
      <w:r w:rsidR="00E9169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to </w:t>
      </w:r>
      <w:r w:rsidR="0025594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make </w:t>
      </w:r>
      <w:r w:rsidR="00AA2B9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any </w:t>
      </w:r>
      <w:r w:rsidR="00E9169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change</w:t>
      </w:r>
      <w:r w:rsidR="0025594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14:paraId="5B8D688E" w14:textId="47164759" w:rsidR="00C87D22" w:rsidRPr="004D593C" w:rsidRDefault="00C87D22" w:rsidP="00C87D22">
      <w:pPr>
        <w:pStyle w:val="a3"/>
        <w:numPr>
          <w:ilvl w:val="1"/>
          <w:numId w:val="15"/>
        </w:numPr>
        <w:shd w:val="clear" w:color="auto" w:fill="FFFFFF"/>
        <w:spacing w:before="150" w:beforeAutospacing="0" w:after="0" w:afterAutospacing="0" w:line="300" w:lineRule="atLeast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Brokers </w:t>
      </w:r>
      <w:r w:rsidR="00290C7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may </w:t>
      </w:r>
      <w:r w:rsidR="00B5618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choose </w:t>
      </w:r>
      <w:proofErr w:type="gramStart"/>
      <w:r w:rsidR="001C78D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the</w:t>
      </w:r>
      <w:r w:rsidR="001827B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27B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underlying</w:t>
      </w:r>
      <w:r w:rsidR="001C78D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proofErr w:type="spellEnd"/>
      <w:proofErr w:type="gramEnd"/>
      <w:r w:rsidR="00B5618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whose OTM options they want to </w:t>
      </w:r>
      <w:r w:rsidR="00290C7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restrict clients from </w:t>
      </w:r>
      <w:r w:rsidR="00094CC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manually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exercising </w:t>
      </w:r>
      <w:r w:rsidR="00797DE0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(either early or </w:t>
      </w:r>
      <w:r w:rsidR="00797DE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at expiration</w:t>
      </w:r>
      <w:r w:rsidR="00797DE0">
        <w:rPr>
          <w:rStyle w:val="ac"/>
          <w:rFonts w:asciiTheme="minorHAnsi" w:hAnsiTheme="minorHAnsi" w:cs="Arial"/>
          <w:color w:val="000000" w:themeColor="text1"/>
          <w:sz w:val="22"/>
          <w:szCs w:val="22"/>
        </w:rPr>
        <w:footnoteReference w:id="7"/>
      </w:r>
      <w:r w:rsidR="00797DE0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)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. </w:t>
      </w:r>
      <w:r w:rsidR="00F5556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lient</w:t>
      </w:r>
      <w:r w:rsidR="00F5556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F5556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would still be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able to </w:t>
      </w:r>
      <w:r w:rsidR="0087109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manually </w:t>
      </w:r>
      <w:r w:rsidR="00F5556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early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exercise </w:t>
      </w:r>
      <w:r w:rsidR="002E778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ITM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and </w:t>
      </w:r>
      <w:r w:rsidR="002E778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ATM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options</w:t>
      </w:r>
      <w:r w:rsidR="00B753A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  <w:r w:rsidR="00141C6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B753A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</w:t>
      </w:r>
      <w:r w:rsidRPr="004D593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he automatic exercise algorithm </w:t>
      </w:r>
      <w:r w:rsidR="00D36C7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would </w:t>
      </w:r>
      <w:r w:rsidRPr="004D593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appl</w:t>
      </w:r>
      <w:r w:rsidR="00D36C7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y</w:t>
      </w:r>
      <w:r w:rsidRPr="004D593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as usual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14:paraId="5AF0FA22" w14:textId="51D0EE2C" w:rsidR="00C87D22" w:rsidRPr="006E451E" w:rsidRDefault="000F45AC" w:rsidP="00C87D22">
      <w:pPr>
        <w:pStyle w:val="a3"/>
        <w:numPr>
          <w:ilvl w:val="1"/>
          <w:numId w:val="15"/>
        </w:numPr>
        <w:shd w:val="clear" w:color="auto" w:fill="FFFFFF"/>
        <w:spacing w:before="150" w:beforeAutospacing="0" w:after="0" w:afterAutospacing="0" w:line="300" w:lineRule="atLeast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77683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input screen </w:t>
      </w:r>
      <w:r w:rsidR="00BE4E7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for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BE4E7C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entering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</w:t>
      </w:r>
      <w:r w:rsidR="00C87D2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ptions exercis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C87D2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instructions </w:t>
      </w:r>
      <w:r w:rsidR="00C87D2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and futures settlement price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r w:rsidR="00C87D2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is </w:t>
      </w:r>
      <w:r w:rsidR="00C87D2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now</w:t>
      </w:r>
      <w:r w:rsidR="00C87D2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removed from the trading system. </w:t>
      </w:r>
      <w:r w:rsidR="004828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</w:t>
      </w:r>
      <w:r w:rsidR="00C87D2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4828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</w:t>
      </w:r>
      <w:r w:rsidR="00C87D2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orresponding </w:t>
      </w:r>
      <w:r w:rsidR="004828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</w:t>
      </w:r>
      <w:r w:rsidR="004828AA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able </w:t>
      </w:r>
      <w:r w:rsidR="004828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in </w:t>
      </w:r>
      <w:r w:rsidR="004828AA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4828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Streams</w:t>
      </w:r>
      <w:r w:rsidR="004828AA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4828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replication </w:t>
      </w:r>
      <w:r w:rsidR="00C87D2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is </w:t>
      </w:r>
      <w:r w:rsidR="00DB42F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also </w:t>
      </w:r>
      <w:r w:rsidR="00C87D2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removed.</w:t>
      </w:r>
    </w:p>
    <w:p w14:paraId="69B8CF6D" w14:textId="11149597" w:rsidR="00C87D22" w:rsidRPr="006E451E" w:rsidRDefault="0090650A" w:rsidP="00C87D22">
      <w:pPr>
        <w:pStyle w:val="a3"/>
        <w:numPr>
          <w:ilvl w:val="1"/>
          <w:numId w:val="15"/>
        </w:numPr>
        <w:shd w:val="clear" w:color="auto" w:fill="FFFFFF"/>
        <w:spacing w:before="120" w:beforeAutospacing="0" w:after="0" w:afterAutospacing="0"/>
        <w:ind w:left="425" w:hanging="425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121B0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Plaza II Gateway </w:t>
      </w:r>
      <w:r w:rsidR="000B473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is </w:t>
      </w:r>
      <w:r w:rsidR="009D55B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change</w:t>
      </w:r>
      <w:r w:rsidR="000B473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</w:t>
      </w:r>
      <w:r w:rsidR="009F017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as follows</w:t>
      </w:r>
      <w:r w:rsidR="00C87D22"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:</w:t>
      </w:r>
    </w:p>
    <w:p w14:paraId="10CB9066" w14:textId="6185F7D1" w:rsidR="002A7B1E" w:rsidRDefault="00202BD4" w:rsidP="00C87D22">
      <w:pPr>
        <w:pStyle w:val="a3"/>
        <w:numPr>
          <w:ilvl w:val="1"/>
          <w:numId w:val="20"/>
        </w:numPr>
        <w:shd w:val="clear" w:color="auto" w:fill="FFFFFF"/>
        <w:spacing w:before="120" w:beforeAutospacing="0" w:after="0" w:afterAutospacing="0"/>
        <w:ind w:left="726" w:hanging="357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n</w:t>
      </w:r>
      <w:r w:rsidR="00C87D22"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um_clr_2delivery (i4) field</w:t>
      </w:r>
      <w:r w:rsidR="00FD7D4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, </w:t>
      </w:r>
      <w:r w:rsidR="00C87D22"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added </w:t>
      </w:r>
      <w:r w:rsidR="001922D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to the </w:t>
      </w:r>
      <w:proofErr w:type="spellStart"/>
      <w:r w:rsidR="00C87D22"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FutChangeClientMoney</w:t>
      </w:r>
      <w:proofErr w:type="spellEnd"/>
      <w:r w:rsidR="00C87D22"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040CD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request</w:t>
      </w:r>
      <w:r w:rsidR="005F6E5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</w:t>
      </w:r>
      <w:r w:rsidR="001922D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FD7D4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specifies </w:t>
      </w:r>
      <w:r w:rsidR="005F6E5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r w:rsidR="00C87D22"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number of c</w:t>
      </w:r>
      <w:r w:rsidR="00C87D2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learing sessions </w:t>
      </w:r>
      <w:r w:rsidR="00FD7D4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be</w:t>
      </w:r>
      <w:r w:rsidR="00C87D2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for</w:t>
      </w:r>
      <w:r w:rsidR="00FD7D4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C87D2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F6557F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options </w:t>
      </w:r>
      <w:r w:rsidR="004E579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expiration when </w:t>
      </w:r>
      <w:r w:rsidR="008874D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required </w:t>
      </w:r>
      <w:r w:rsidR="004834B9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margin</w:t>
      </w:r>
      <w:r w:rsidR="00F33A3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85560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starts increasing</w:t>
      </w:r>
      <w:r w:rsidR="00F33A3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04166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(see Section 3 for details)</w:t>
      </w:r>
      <w:r w:rsidR="00FD7D4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14:paraId="71FA8A12" w14:textId="6B80F7EC" w:rsidR="00C87D22" w:rsidRPr="00DE4F2B" w:rsidRDefault="002A7B1E" w:rsidP="00DE4F2B">
      <w:pPr>
        <w:pStyle w:val="a6"/>
        <w:numPr>
          <w:ilvl w:val="1"/>
          <w:numId w:val="20"/>
        </w:numPr>
        <w:rPr>
          <w:rFonts w:asciiTheme="minorHAnsi" w:hAnsiTheme="minorHAnsi" w:cs="Arial"/>
          <w:color w:val="000000" w:themeColor="text1"/>
          <w:lang w:val="en-US"/>
        </w:rPr>
      </w:pPr>
      <w:r w:rsidRPr="002A7B1E">
        <w:rPr>
          <w:rFonts w:asciiTheme="minorHAnsi" w:eastAsia="Times New Roman" w:hAnsiTheme="minorHAnsi" w:cs="Arial"/>
          <w:color w:val="000000" w:themeColor="text1"/>
          <w:lang w:val="en-US" w:eastAsia="ru-RU"/>
        </w:rPr>
        <w:t xml:space="preserve">num_clr_2delivery (i4) </w:t>
      </w:r>
      <w:r>
        <w:rPr>
          <w:rFonts w:asciiTheme="minorHAnsi" w:eastAsia="Times New Roman" w:hAnsiTheme="minorHAnsi" w:cs="Arial"/>
          <w:color w:val="000000" w:themeColor="text1"/>
          <w:lang w:val="en-US" w:eastAsia="ru-RU"/>
        </w:rPr>
        <w:t xml:space="preserve">field has also been added to the </w:t>
      </w:r>
      <w:r w:rsidRPr="002A7B1E">
        <w:rPr>
          <w:rFonts w:asciiTheme="minorHAnsi" w:eastAsia="Times New Roman" w:hAnsiTheme="minorHAnsi" w:cs="Arial"/>
          <w:color w:val="000000" w:themeColor="text1"/>
          <w:lang w:val="en-US" w:eastAsia="ru-RU"/>
        </w:rPr>
        <w:t xml:space="preserve">‘Part’ table in </w:t>
      </w:r>
      <w:r>
        <w:rPr>
          <w:rFonts w:asciiTheme="minorHAnsi" w:eastAsia="Times New Roman" w:hAnsiTheme="minorHAnsi" w:cs="Arial"/>
          <w:color w:val="000000" w:themeColor="text1"/>
          <w:lang w:val="en-US" w:eastAsia="ru-RU"/>
        </w:rPr>
        <w:t xml:space="preserve">the </w:t>
      </w:r>
      <w:r w:rsidRPr="002A7B1E">
        <w:rPr>
          <w:rFonts w:asciiTheme="minorHAnsi" w:eastAsia="Times New Roman" w:hAnsiTheme="minorHAnsi" w:cs="Arial"/>
          <w:color w:val="000000" w:themeColor="text1"/>
          <w:lang w:val="en-US" w:eastAsia="ru-RU"/>
        </w:rPr>
        <w:t>FORTS_PART_REPL stream</w:t>
      </w:r>
      <w:r>
        <w:rPr>
          <w:rFonts w:asciiTheme="minorHAnsi" w:eastAsia="Times New Roman" w:hAnsiTheme="minorHAnsi" w:cs="Arial"/>
          <w:color w:val="000000" w:themeColor="text1"/>
          <w:lang w:val="en-US" w:eastAsia="ru-RU"/>
        </w:rPr>
        <w:t>, performing the same function</w:t>
      </w:r>
      <w:r w:rsidRPr="002A7B1E">
        <w:rPr>
          <w:rFonts w:asciiTheme="minorHAnsi" w:eastAsia="Times New Roman" w:hAnsiTheme="minorHAnsi" w:cs="Arial"/>
          <w:color w:val="000000" w:themeColor="text1"/>
          <w:lang w:val="en-US" w:eastAsia="ru-RU"/>
        </w:rPr>
        <w:t>.</w:t>
      </w:r>
    </w:p>
    <w:p w14:paraId="338FCFF2" w14:textId="0C6FE5C1" w:rsidR="00C87D22" w:rsidRPr="000F7DC2" w:rsidRDefault="00C87D22" w:rsidP="00C87D22">
      <w:pPr>
        <w:pStyle w:val="a3"/>
        <w:numPr>
          <w:ilvl w:val="1"/>
          <w:numId w:val="20"/>
        </w:numPr>
        <w:shd w:val="clear" w:color="auto" w:fill="FFFFFF"/>
        <w:spacing w:before="120" w:beforeAutospacing="0" w:after="0" w:afterAutospacing="0"/>
        <w:ind w:left="726" w:hanging="357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Amount field</w:t>
      </w:r>
      <w:r w:rsidR="00967FC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in </w:t>
      </w:r>
      <w:r w:rsidR="005165B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proofErr w:type="spellStart"/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OptChangeExpiration</w:t>
      </w:r>
      <w:proofErr w:type="spellEnd"/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5D5F3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request</w:t>
      </w:r>
      <w:r w:rsidR="0091688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</w:t>
      </w:r>
      <w:r w:rsidR="005165B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can </w:t>
      </w:r>
      <w:r w:rsidR="00FD7E9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now take 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negative</w:t>
      </w:r>
      <w:r w:rsidR="00FD7E9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value</w:t>
      </w:r>
      <w:r w:rsidR="00FB077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, which </w:t>
      </w:r>
      <w:r w:rsidR="00FB077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denote</w:t>
      </w:r>
      <w:r w:rsidR="0091688B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the number of options a trader does not want exercised.</w:t>
      </w:r>
    </w:p>
    <w:p w14:paraId="33CA7B31" w14:textId="493C03F7" w:rsidR="001E5761" w:rsidRPr="008367F4" w:rsidRDefault="00C87D22" w:rsidP="008367F4">
      <w:pPr>
        <w:pStyle w:val="a3"/>
        <w:numPr>
          <w:ilvl w:val="1"/>
          <w:numId w:val="20"/>
        </w:numPr>
        <w:shd w:val="clear" w:color="auto" w:fill="FFFFFF"/>
        <w:spacing w:before="120" w:beforeAutospacing="0" w:after="0" w:afterAutospacing="0"/>
        <w:ind w:left="726" w:hanging="357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Amount (i4) field</w:t>
      </w:r>
      <w:r w:rsidR="00CF75D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in </w:t>
      </w:r>
      <w:r w:rsidR="00CF75D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</w:t>
      </w:r>
      <w:proofErr w:type="spellStart"/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opt_exp_orders</w:t>
      </w:r>
      <w:proofErr w:type="spellEnd"/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table </w:t>
      </w:r>
      <w:r w:rsidR="00CF75D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of the 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FORTS_OPTINFO_REPL stream</w:t>
      </w:r>
      <w:r w:rsidR="00CF75D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,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can </w:t>
      </w:r>
      <w:r w:rsidR="00635D3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now </w:t>
      </w:r>
      <w:r w:rsidR="002F26F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take 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negative</w:t>
      </w:r>
      <w:r w:rsidR="002F26F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values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as well</w:t>
      </w:r>
      <w:r w:rsidR="008367F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r w:rsidR="008829C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to </w:t>
      </w:r>
      <w:r w:rsidR="0063390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prevent the</w:t>
      </w:r>
      <w:r w:rsidR="008829C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exercise</w:t>
      </w:r>
      <w:r w:rsidR="0063390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of options</w:t>
      </w:r>
      <w:r w:rsidRPr="000F7DC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14:paraId="2F29570C" w14:textId="4E30DC30" w:rsidR="00C87D22" w:rsidRPr="006E451E" w:rsidRDefault="00C87D22" w:rsidP="00DE4F2B">
      <w:pPr>
        <w:pStyle w:val="a3"/>
        <w:shd w:val="clear" w:color="auto" w:fill="FFFFFF"/>
        <w:spacing w:before="120" w:beforeAutospacing="0" w:after="0" w:afterAutospacing="0"/>
        <w:ind w:firstLine="369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External documentation is </w:t>
      </w:r>
      <w:r w:rsidR="00AC017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being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updated </w:t>
      </w:r>
      <w:r w:rsidR="00967FC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to reflect the </w:t>
      </w:r>
      <w:r w:rsidR="001E576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changes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14:paraId="5FFD42EC" w14:textId="77777777" w:rsidR="00C87D22" w:rsidRDefault="00C87D22" w:rsidP="00C87D22">
      <w:pPr>
        <w:pStyle w:val="a3"/>
        <w:shd w:val="clear" w:color="auto" w:fill="FFFFFF"/>
        <w:spacing w:before="120" w:beforeAutospacing="0" w:after="0" w:afterAutospacing="0"/>
        <w:ind w:left="726"/>
        <w:jc w:val="both"/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</w:pPr>
    </w:p>
    <w:p w14:paraId="11FD303A" w14:textId="14702EE2" w:rsidR="00C87D22" w:rsidRPr="000F7DC2" w:rsidRDefault="00C87D22" w:rsidP="00DE4F2B">
      <w:pPr>
        <w:pStyle w:val="a3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</w:pPr>
      <w:proofErr w:type="gramStart"/>
      <w:r w:rsidRPr="000F7DC2"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  <w:t>Section 2.</w:t>
      </w:r>
      <w:proofErr w:type="gramEnd"/>
      <w:r w:rsidRPr="000F7DC2"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  <w:t xml:space="preserve"> </w:t>
      </w:r>
      <w:r w:rsidR="00F97AAA"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  <w:t xml:space="preserve">How unexercised options affect </w:t>
      </w:r>
      <w:r w:rsidR="00D11A0A">
        <w:rPr>
          <w:rStyle w:val="apple-converted-space"/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  <w:t>settlement</w:t>
      </w:r>
    </w:p>
    <w:p w14:paraId="392FE867" w14:textId="59CE4145" w:rsidR="00C87D22" w:rsidRPr="005A2D76" w:rsidRDefault="00C87D22" w:rsidP="00C87D22">
      <w:pPr>
        <w:pStyle w:val="a3"/>
        <w:shd w:val="clear" w:color="auto" w:fill="FFFFFF"/>
        <w:tabs>
          <w:tab w:val="left" w:pos="4634"/>
        </w:tabs>
        <w:spacing w:before="12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If </w:t>
      </w:r>
      <w:r w:rsidR="00F97A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a </w:t>
      </w:r>
      <w:r w:rsidR="00B949E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long </w:t>
      </w:r>
      <w:r w:rsidRPr="006E451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buyer </w:t>
      </w:r>
      <w:r w:rsidR="00744FF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chose not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to exercise </w:t>
      </w:r>
      <w:r w:rsidR="00F97A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his ITM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options </w:t>
      </w:r>
      <w:r w:rsidR="00F97A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at expiration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, </w:t>
      </w:r>
      <w:r w:rsidR="0086596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the amount of underlying futures that the short sellers </w:t>
      </w:r>
      <w:r w:rsidR="00816654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have</w:t>
      </w:r>
      <w:r w:rsidR="0086596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to deliver on those options </w:t>
      </w:r>
      <w:r w:rsidR="00D51A4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will </w:t>
      </w:r>
      <w:r w:rsidR="00D7483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decrease </w:t>
      </w:r>
      <w:r w:rsidR="00F97AA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proportion</w:t>
      </w:r>
      <w:r w:rsidR="00D74832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ately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</w:t>
      </w:r>
    </w:p>
    <w:p w14:paraId="7DF38E42" w14:textId="310144D3" w:rsidR="00C87D22" w:rsidRPr="0033125B" w:rsidRDefault="00C87D22" w:rsidP="00C87D22">
      <w:pPr>
        <w:pStyle w:val="a3"/>
        <w:shd w:val="clear" w:color="auto" w:fill="FFFFFF"/>
        <w:spacing w:before="120" w:beforeAutospacing="0" w:after="120" w:afterAutospacing="0"/>
        <w:ind w:left="426"/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</w:pPr>
      <w:r w:rsidRPr="006E451E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Example: </w:t>
      </w:r>
      <w:r w:rsidR="00B169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S</w:t>
      </w:r>
      <w:r w:rsidRPr="006E451E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uppose three sellers </w:t>
      </w:r>
      <w:r w:rsidR="00B169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are </w:t>
      </w:r>
      <w:r w:rsidR="00C24B1E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each </w:t>
      </w:r>
      <w:r w:rsidR="00B169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short 100 XYZ calls and one buyer </w:t>
      </w:r>
      <w:r w:rsidR="00D06F5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is </w:t>
      </w:r>
      <w:r w:rsidR="00B169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long 300 XYZ calls. At expiration, suppose the </w:t>
      </w:r>
      <w:r w:rsidR="00B8402D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calls</w:t>
      </w:r>
      <w:r w:rsidR="00B169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are </w:t>
      </w:r>
      <w:r w:rsidR="00156368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ITM</w:t>
      </w:r>
      <w:r w:rsidR="00B169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and</w:t>
      </w:r>
      <w:r w:rsidRPr="006E451E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 w:rsidR="00B169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t</w:t>
      </w:r>
      <w:r w:rsidRPr="006E451E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he buyer </w:t>
      </w:r>
      <w:r w:rsidR="00B169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decides not to exercise </w:t>
      </w:r>
      <w:r w:rsidRPr="006E451E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100 of </w:t>
      </w:r>
      <w:r w:rsidR="00B169B4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them. </w:t>
      </w:r>
      <w:r w:rsidRPr="0033125B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Then during the last clearing session</w:t>
      </w:r>
      <w:r w:rsidR="00351400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,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the </w:t>
      </w:r>
      <w:r w:rsidR="00351400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sellers will be </w:t>
      </w:r>
      <w:r w:rsidR="00DB7F75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obligated</w:t>
      </w:r>
      <w:r w:rsidR="00351400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to </w:t>
      </w:r>
      <w:r w:rsidR="00023F01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settle</w:t>
      </w:r>
      <w:r w:rsidR="00351400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a total of 200 calls</w:t>
      </w:r>
      <w:r w:rsidR="00F30A68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as follows</w:t>
      </w:r>
      <w:r w:rsidRPr="0033125B">
        <w:rPr>
          <w:rFonts w:asciiTheme="minorHAnsi" w:hAnsiTheme="minorHAnsi" w:cs="Arial"/>
          <w:i/>
          <w:color w:val="000000" w:themeColor="text1"/>
          <w:sz w:val="22"/>
          <w:szCs w:val="22"/>
          <w:lang w:val="en-US"/>
        </w:rPr>
        <w:t>:</w:t>
      </w:r>
    </w:p>
    <w:tbl>
      <w:tblPr>
        <w:tblStyle w:val="a7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3118"/>
        <w:gridCol w:w="2694"/>
      </w:tblGrid>
      <w:tr w:rsidR="00C87D22" w:rsidRPr="00451928" w14:paraId="036772DA" w14:textId="77777777" w:rsidTr="00DE4F2B">
        <w:tc>
          <w:tcPr>
            <w:tcW w:w="1134" w:type="dxa"/>
          </w:tcPr>
          <w:p w14:paraId="03A567D3" w14:textId="77777777" w:rsidR="00C87D22" w:rsidRPr="0033125B" w:rsidRDefault="00C87D22" w:rsidP="001D4846">
            <w:pPr>
              <w:jc w:val="both"/>
              <w:rPr>
                <w:rFonts w:cs="Arial"/>
                <w:i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7B8CC810" w14:textId="18BA2A9F" w:rsidR="00C87D22" w:rsidRPr="00DE4F2B" w:rsidRDefault="00A20EF6" w:rsidP="00744FF1">
            <w:pPr>
              <w:jc w:val="both"/>
              <w:rPr>
                <w:rFonts w:cs="Arial"/>
                <w:i/>
                <w:color w:val="000000" w:themeColor="text1"/>
                <w:lang w:val="en-US"/>
              </w:rPr>
            </w:pPr>
            <w:r>
              <w:rPr>
                <w:rFonts w:cs="Arial"/>
                <w:i/>
                <w:color w:val="000000" w:themeColor="text1"/>
                <w:lang w:val="en-US"/>
              </w:rPr>
              <w:t>Initial</w:t>
            </w:r>
            <w:r w:rsidR="00F30A68">
              <w:rPr>
                <w:rFonts w:cs="Arial"/>
                <w:i/>
                <w:color w:val="000000" w:themeColor="text1"/>
                <w:lang w:val="en-US"/>
              </w:rPr>
              <w:t xml:space="preserve"> p</w:t>
            </w:r>
            <w:r w:rsidR="00D51A45">
              <w:rPr>
                <w:rFonts w:cs="Arial"/>
                <w:i/>
                <w:color w:val="000000" w:themeColor="text1"/>
                <w:lang w:val="en-US"/>
              </w:rPr>
              <w:t>osition size</w:t>
            </w:r>
          </w:p>
        </w:tc>
        <w:tc>
          <w:tcPr>
            <w:tcW w:w="3118" w:type="dxa"/>
          </w:tcPr>
          <w:p w14:paraId="62E419C7" w14:textId="3901D2AE" w:rsidR="00C87D22" w:rsidRPr="00DE4F2B" w:rsidRDefault="00F30A68" w:rsidP="00F30A68">
            <w:pPr>
              <w:jc w:val="both"/>
              <w:rPr>
                <w:rFonts w:cs="Arial"/>
                <w:i/>
                <w:color w:val="000000" w:themeColor="text1"/>
                <w:lang w:val="en-US"/>
              </w:rPr>
            </w:pPr>
            <w:r>
              <w:rPr>
                <w:rFonts w:cs="Arial"/>
                <w:i/>
                <w:color w:val="000000" w:themeColor="text1"/>
                <w:lang w:val="en-US"/>
              </w:rPr>
              <w:t>Will not be liable for (# of calls)</w:t>
            </w:r>
          </w:p>
        </w:tc>
        <w:tc>
          <w:tcPr>
            <w:tcW w:w="2694" w:type="dxa"/>
          </w:tcPr>
          <w:p w14:paraId="63BDCCD2" w14:textId="0D7998C6" w:rsidR="00C87D22" w:rsidRPr="00DE4F2B" w:rsidRDefault="00F30A68">
            <w:pPr>
              <w:rPr>
                <w:rFonts w:cs="Arial"/>
                <w:i/>
                <w:color w:val="000000" w:themeColor="text1"/>
                <w:lang w:val="en-US"/>
              </w:rPr>
            </w:pPr>
            <w:r>
              <w:rPr>
                <w:rFonts w:cs="Arial"/>
                <w:i/>
                <w:color w:val="000000" w:themeColor="text1"/>
                <w:lang w:val="en-US"/>
              </w:rPr>
              <w:t xml:space="preserve">Must deliver </w:t>
            </w:r>
            <w:r w:rsidR="00E52D41">
              <w:rPr>
                <w:rFonts w:cs="Arial"/>
                <w:i/>
                <w:color w:val="000000" w:themeColor="text1"/>
                <w:lang w:val="en-US"/>
              </w:rPr>
              <w:t xml:space="preserve">on </w:t>
            </w:r>
            <w:r>
              <w:rPr>
                <w:rFonts w:cs="Arial"/>
                <w:i/>
                <w:color w:val="000000" w:themeColor="text1"/>
                <w:lang w:val="en-US"/>
              </w:rPr>
              <w:t>(# of calls)</w:t>
            </w:r>
          </w:p>
        </w:tc>
      </w:tr>
      <w:tr w:rsidR="00BA6E17" w:rsidRPr="002269BF" w14:paraId="0A4786E4" w14:textId="77777777" w:rsidTr="00DE4F2B">
        <w:tc>
          <w:tcPr>
            <w:tcW w:w="1134" w:type="dxa"/>
          </w:tcPr>
          <w:p w14:paraId="007CB1D2" w14:textId="05F8B4FF" w:rsidR="00BA6E17" w:rsidRPr="00DE4F2B" w:rsidRDefault="00BA6E17" w:rsidP="002750FD">
            <w:pPr>
              <w:rPr>
                <w:rFonts w:cs="Arial"/>
                <w:i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i/>
                <w:color w:val="000000" w:themeColor="text1"/>
              </w:rPr>
              <w:t>Seller</w:t>
            </w:r>
            <w:proofErr w:type="spellEnd"/>
            <w:r w:rsidRPr="002269BF">
              <w:rPr>
                <w:rFonts w:cs="Arial"/>
                <w:i/>
                <w:color w:val="000000" w:themeColor="text1"/>
              </w:rPr>
              <w:t xml:space="preserve"> </w:t>
            </w:r>
            <w:r>
              <w:rPr>
                <w:rFonts w:cs="Arial"/>
                <w:i/>
                <w:color w:val="000000" w:themeColor="text1"/>
                <w:lang w:val="en-US"/>
              </w:rPr>
              <w:t>A</w:t>
            </w:r>
          </w:p>
        </w:tc>
        <w:tc>
          <w:tcPr>
            <w:tcW w:w="1984" w:type="dxa"/>
          </w:tcPr>
          <w:p w14:paraId="4ABE79F7" w14:textId="77777777" w:rsidR="00BA6E17" w:rsidRPr="002269BF" w:rsidRDefault="00BA6E17" w:rsidP="002750FD">
            <w:pPr>
              <w:rPr>
                <w:rFonts w:cs="Arial"/>
                <w:i/>
                <w:color w:val="000000" w:themeColor="text1"/>
              </w:rPr>
            </w:pPr>
            <w:r w:rsidRPr="002269BF">
              <w:rPr>
                <w:rFonts w:cs="Arial"/>
                <w:i/>
                <w:color w:val="000000" w:themeColor="text1"/>
              </w:rPr>
              <w:t>-100</w:t>
            </w:r>
          </w:p>
        </w:tc>
        <w:tc>
          <w:tcPr>
            <w:tcW w:w="3118" w:type="dxa"/>
            <w:shd w:val="clear" w:color="auto" w:fill="FFFF99"/>
          </w:tcPr>
          <w:p w14:paraId="0859C6D0" w14:textId="77777777" w:rsidR="00BA6E17" w:rsidRPr="002269BF" w:rsidRDefault="00BA6E17" w:rsidP="002750FD">
            <w:pPr>
              <w:rPr>
                <w:rFonts w:cs="Arial"/>
                <w:i/>
                <w:color w:val="000000" w:themeColor="text1"/>
              </w:rPr>
            </w:pPr>
            <w:r w:rsidRPr="00F67CDB">
              <w:rPr>
                <w:rFonts w:cs="Arial"/>
                <w:i/>
                <w:color w:val="000000" w:themeColor="text1"/>
              </w:rPr>
              <w:t>34</w:t>
            </w:r>
          </w:p>
        </w:tc>
        <w:tc>
          <w:tcPr>
            <w:tcW w:w="2694" w:type="dxa"/>
            <w:shd w:val="clear" w:color="auto" w:fill="FFFF99"/>
          </w:tcPr>
          <w:p w14:paraId="772CBC7A" w14:textId="77777777" w:rsidR="00BA6E17" w:rsidRPr="002269BF" w:rsidRDefault="00BA6E17" w:rsidP="002750FD">
            <w:pPr>
              <w:rPr>
                <w:rFonts w:cs="Arial"/>
                <w:i/>
                <w:color w:val="000000" w:themeColor="text1"/>
              </w:rPr>
            </w:pPr>
            <w:r w:rsidRPr="002269BF">
              <w:rPr>
                <w:rFonts w:cs="Arial"/>
                <w:i/>
                <w:color w:val="000000" w:themeColor="text1"/>
              </w:rPr>
              <w:t>66</w:t>
            </w:r>
          </w:p>
        </w:tc>
      </w:tr>
      <w:tr w:rsidR="00C87D22" w:rsidRPr="002269BF" w14:paraId="05959CAA" w14:textId="77777777" w:rsidTr="00DE4F2B">
        <w:tc>
          <w:tcPr>
            <w:tcW w:w="1134" w:type="dxa"/>
          </w:tcPr>
          <w:p w14:paraId="32ADD184" w14:textId="31444B57" w:rsidR="00C87D22" w:rsidRPr="00DE4F2B" w:rsidRDefault="00C87D22" w:rsidP="001D4846">
            <w:pPr>
              <w:jc w:val="both"/>
              <w:rPr>
                <w:rFonts w:cs="Arial"/>
                <w:i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i/>
                <w:color w:val="000000" w:themeColor="text1"/>
              </w:rPr>
              <w:t>Seller</w:t>
            </w:r>
            <w:proofErr w:type="spellEnd"/>
            <w:r w:rsidR="00BA6E17">
              <w:rPr>
                <w:rFonts w:cs="Arial"/>
                <w:i/>
                <w:color w:val="000000" w:themeColor="text1"/>
                <w:lang w:val="en-US"/>
              </w:rPr>
              <w:t xml:space="preserve"> B</w:t>
            </w:r>
          </w:p>
        </w:tc>
        <w:tc>
          <w:tcPr>
            <w:tcW w:w="1984" w:type="dxa"/>
          </w:tcPr>
          <w:p w14:paraId="514B70E5" w14:textId="77777777" w:rsidR="00C87D22" w:rsidRPr="002269BF" w:rsidRDefault="00C87D22" w:rsidP="001D4846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2269BF">
              <w:rPr>
                <w:rFonts w:cs="Arial"/>
                <w:i/>
                <w:color w:val="000000" w:themeColor="text1"/>
              </w:rPr>
              <w:t>-100</w:t>
            </w:r>
          </w:p>
        </w:tc>
        <w:tc>
          <w:tcPr>
            <w:tcW w:w="3118" w:type="dxa"/>
          </w:tcPr>
          <w:p w14:paraId="5636E705" w14:textId="77777777" w:rsidR="00C87D22" w:rsidRPr="002269BF" w:rsidRDefault="00C87D22" w:rsidP="001D4846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2269BF">
              <w:rPr>
                <w:rFonts w:cs="Arial"/>
                <w:i/>
                <w:color w:val="000000" w:themeColor="text1"/>
              </w:rPr>
              <w:t>33</w:t>
            </w:r>
          </w:p>
        </w:tc>
        <w:tc>
          <w:tcPr>
            <w:tcW w:w="2694" w:type="dxa"/>
          </w:tcPr>
          <w:p w14:paraId="13497EE4" w14:textId="77777777" w:rsidR="00C87D22" w:rsidRPr="002269BF" w:rsidRDefault="00C87D22" w:rsidP="001D4846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2269BF">
              <w:rPr>
                <w:rFonts w:cs="Arial"/>
                <w:i/>
                <w:color w:val="000000" w:themeColor="text1"/>
              </w:rPr>
              <w:t>67</w:t>
            </w:r>
          </w:p>
        </w:tc>
      </w:tr>
      <w:tr w:rsidR="00C87D22" w:rsidRPr="002269BF" w14:paraId="0FD3B0C3" w14:textId="77777777" w:rsidTr="00DE4F2B">
        <w:tc>
          <w:tcPr>
            <w:tcW w:w="1134" w:type="dxa"/>
          </w:tcPr>
          <w:p w14:paraId="57A7E333" w14:textId="240B24FE" w:rsidR="00C87D22" w:rsidRPr="00DE4F2B" w:rsidRDefault="00C87D22" w:rsidP="00744FF1">
            <w:pPr>
              <w:jc w:val="both"/>
              <w:rPr>
                <w:rFonts w:cs="Arial"/>
                <w:i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i/>
                <w:color w:val="000000" w:themeColor="text1"/>
              </w:rPr>
              <w:t>Seller</w:t>
            </w:r>
            <w:proofErr w:type="spellEnd"/>
            <w:r w:rsidRPr="002269BF">
              <w:rPr>
                <w:rFonts w:cs="Arial"/>
                <w:i/>
                <w:color w:val="000000" w:themeColor="text1"/>
              </w:rPr>
              <w:t xml:space="preserve"> </w:t>
            </w:r>
            <w:r w:rsidR="00BA6E17">
              <w:rPr>
                <w:rFonts w:cs="Arial"/>
                <w:i/>
                <w:color w:val="000000" w:themeColor="text1"/>
                <w:lang w:val="en-US"/>
              </w:rPr>
              <w:t>C</w:t>
            </w:r>
          </w:p>
        </w:tc>
        <w:tc>
          <w:tcPr>
            <w:tcW w:w="1984" w:type="dxa"/>
          </w:tcPr>
          <w:p w14:paraId="5EC3F344" w14:textId="77777777" w:rsidR="00C87D22" w:rsidRPr="002269BF" w:rsidRDefault="00C87D22" w:rsidP="001D4846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2269BF">
              <w:rPr>
                <w:rFonts w:cs="Arial"/>
                <w:i/>
                <w:color w:val="000000" w:themeColor="text1"/>
              </w:rPr>
              <w:t>-100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586C72" w14:textId="77777777" w:rsidR="00C87D22" w:rsidRPr="002269BF" w:rsidRDefault="00C87D22" w:rsidP="001D4846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2269BF">
              <w:rPr>
                <w:rFonts w:cs="Arial"/>
                <w:i/>
                <w:color w:val="000000" w:themeColor="text1"/>
              </w:rPr>
              <w:t>33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14504BD" w14:textId="77777777" w:rsidR="00C87D22" w:rsidRPr="002269BF" w:rsidRDefault="00C87D22" w:rsidP="001D4846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2269BF">
              <w:rPr>
                <w:rFonts w:cs="Arial"/>
                <w:i/>
                <w:color w:val="000000" w:themeColor="text1"/>
              </w:rPr>
              <w:t>67</w:t>
            </w:r>
          </w:p>
        </w:tc>
      </w:tr>
    </w:tbl>
    <w:p w14:paraId="590582CC" w14:textId="20E3E677" w:rsidR="0092177B" w:rsidRDefault="008F5074" w:rsidP="00C87D22">
      <w:pPr>
        <w:spacing w:before="120" w:after="120" w:line="240" w:lineRule="auto"/>
        <w:ind w:left="425"/>
        <w:jc w:val="both"/>
        <w:rPr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>In a</w:t>
      </w:r>
      <w:r w:rsidR="004C135B">
        <w:rPr>
          <w:i/>
          <w:color w:val="000000" w:themeColor="text1"/>
          <w:lang w:val="en-US"/>
        </w:rPr>
        <w:t>ll three sellers</w:t>
      </w:r>
      <w:r>
        <w:rPr>
          <w:i/>
          <w:color w:val="000000" w:themeColor="text1"/>
          <w:lang w:val="en-US"/>
        </w:rPr>
        <w:t>’</w:t>
      </w:r>
      <w:r w:rsidR="004C135B">
        <w:rPr>
          <w:i/>
          <w:color w:val="000000" w:themeColor="text1"/>
          <w:lang w:val="en-US"/>
        </w:rPr>
        <w:t xml:space="preserve"> </w:t>
      </w:r>
      <w:r>
        <w:rPr>
          <w:i/>
          <w:color w:val="000000" w:themeColor="text1"/>
          <w:lang w:val="en-US"/>
        </w:rPr>
        <w:t xml:space="preserve">accounts, </w:t>
      </w:r>
      <w:r w:rsidR="0025720C">
        <w:rPr>
          <w:i/>
          <w:color w:val="000000" w:themeColor="text1"/>
          <w:lang w:val="en-US"/>
        </w:rPr>
        <w:t xml:space="preserve">of the 100 ITM short calls, </w:t>
      </w:r>
      <w:r w:rsidR="004C135B">
        <w:rPr>
          <w:i/>
          <w:color w:val="000000" w:themeColor="text1"/>
          <w:lang w:val="en-US"/>
        </w:rPr>
        <w:t xml:space="preserve">33 will </w:t>
      </w:r>
      <w:r>
        <w:rPr>
          <w:i/>
          <w:color w:val="000000" w:themeColor="text1"/>
          <w:lang w:val="en-US"/>
        </w:rPr>
        <w:t>expire unexercised</w:t>
      </w:r>
      <w:r w:rsidR="00CE14C5">
        <w:rPr>
          <w:i/>
          <w:color w:val="000000" w:themeColor="text1"/>
          <w:lang w:val="en-US"/>
        </w:rPr>
        <w:t>;</w:t>
      </w:r>
      <w:r>
        <w:rPr>
          <w:i/>
          <w:color w:val="000000" w:themeColor="text1"/>
          <w:lang w:val="en-US"/>
        </w:rPr>
        <w:t xml:space="preserve"> the</w:t>
      </w:r>
      <w:r w:rsidR="00F64E83">
        <w:rPr>
          <w:i/>
          <w:color w:val="000000" w:themeColor="text1"/>
          <w:lang w:val="en-US"/>
        </w:rPr>
        <w:t xml:space="preserve"> sellers</w:t>
      </w:r>
      <w:r>
        <w:rPr>
          <w:i/>
          <w:color w:val="000000" w:themeColor="text1"/>
          <w:lang w:val="en-US"/>
        </w:rPr>
        <w:t xml:space="preserve"> will </w:t>
      </w:r>
      <w:r w:rsidR="004C135B">
        <w:rPr>
          <w:i/>
          <w:color w:val="000000" w:themeColor="text1"/>
          <w:lang w:val="en-US"/>
        </w:rPr>
        <w:t xml:space="preserve">need to deliver </w:t>
      </w:r>
      <w:r>
        <w:rPr>
          <w:i/>
          <w:color w:val="000000" w:themeColor="text1"/>
          <w:lang w:val="en-US"/>
        </w:rPr>
        <w:t xml:space="preserve">only </w:t>
      </w:r>
      <w:r w:rsidR="004C135B">
        <w:rPr>
          <w:i/>
          <w:color w:val="000000" w:themeColor="text1"/>
          <w:lang w:val="en-US"/>
        </w:rPr>
        <w:t xml:space="preserve">on the remaining 66 calls. </w:t>
      </w:r>
      <w:r w:rsidR="00D15A14">
        <w:rPr>
          <w:i/>
          <w:color w:val="000000" w:themeColor="text1"/>
          <w:lang w:val="en-US"/>
        </w:rPr>
        <w:t>In an uneven allotment,</w:t>
      </w:r>
      <w:r w:rsidR="005910DC">
        <w:rPr>
          <w:i/>
          <w:color w:val="000000" w:themeColor="text1"/>
          <w:lang w:val="en-US"/>
        </w:rPr>
        <w:t xml:space="preserve"> however,</w:t>
      </w:r>
      <w:r w:rsidR="00D15A14">
        <w:rPr>
          <w:i/>
          <w:color w:val="000000" w:themeColor="text1"/>
          <w:lang w:val="en-US"/>
        </w:rPr>
        <w:t xml:space="preserve"> such as in our example</w:t>
      </w:r>
      <w:r w:rsidR="005910DC">
        <w:rPr>
          <w:i/>
          <w:color w:val="000000" w:themeColor="text1"/>
          <w:lang w:val="en-US"/>
        </w:rPr>
        <w:t xml:space="preserve"> </w:t>
      </w:r>
      <w:r w:rsidR="00843E9F">
        <w:rPr>
          <w:i/>
          <w:color w:val="000000" w:themeColor="text1"/>
          <w:lang w:val="en-US"/>
        </w:rPr>
        <w:t xml:space="preserve">– </w:t>
      </w:r>
      <w:r w:rsidR="005910DC">
        <w:rPr>
          <w:i/>
          <w:color w:val="000000" w:themeColor="text1"/>
          <w:lang w:val="en-US"/>
        </w:rPr>
        <w:t xml:space="preserve">where the unexercised 100 </w:t>
      </w:r>
      <w:r w:rsidR="00ED6FB9">
        <w:rPr>
          <w:i/>
          <w:color w:val="000000" w:themeColor="text1"/>
          <w:lang w:val="en-US"/>
        </w:rPr>
        <w:t>calls</w:t>
      </w:r>
      <w:r w:rsidR="005910DC">
        <w:rPr>
          <w:i/>
          <w:color w:val="000000" w:themeColor="text1"/>
          <w:lang w:val="en-US"/>
        </w:rPr>
        <w:t xml:space="preserve"> must be divided among 3 short sellers</w:t>
      </w:r>
      <w:r w:rsidR="00843E9F">
        <w:rPr>
          <w:i/>
          <w:color w:val="000000" w:themeColor="text1"/>
          <w:lang w:val="en-US"/>
        </w:rPr>
        <w:t xml:space="preserve"> </w:t>
      </w:r>
      <w:r w:rsidR="00B07D5C">
        <w:rPr>
          <w:i/>
          <w:color w:val="000000" w:themeColor="text1"/>
          <w:lang w:val="en-US"/>
        </w:rPr>
        <w:t>–</w:t>
      </w:r>
      <w:r w:rsidR="00EC551D">
        <w:rPr>
          <w:i/>
          <w:color w:val="000000" w:themeColor="text1"/>
          <w:lang w:val="en-US"/>
        </w:rPr>
        <w:t xml:space="preserve"> </w:t>
      </w:r>
      <w:r w:rsidR="00B342E7">
        <w:rPr>
          <w:i/>
          <w:color w:val="000000" w:themeColor="text1"/>
          <w:lang w:val="en-US"/>
        </w:rPr>
        <w:t xml:space="preserve">the remaining 1 </w:t>
      </w:r>
      <w:r w:rsidR="00522068">
        <w:rPr>
          <w:i/>
          <w:color w:val="000000" w:themeColor="text1"/>
          <w:lang w:val="en-US"/>
        </w:rPr>
        <w:t xml:space="preserve">unexercised </w:t>
      </w:r>
      <w:r w:rsidR="002E5320">
        <w:rPr>
          <w:i/>
          <w:color w:val="000000" w:themeColor="text1"/>
          <w:lang w:val="en-US"/>
        </w:rPr>
        <w:t>option</w:t>
      </w:r>
      <w:r w:rsidR="00B342E7">
        <w:rPr>
          <w:i/>
          <w:color w:val="000000" w:themeColor="text1"/>
          <w:lang w:val="en-US"/>
        </w:rPr>
        <w:t xml:space="preserve"> (</w:t>
      </w:r>
      <w:r w:rsidR="00B342E7" w:rsidRPr="00D8196F">
        <w:rPr>
          <w:i/>
          <w:color w:val="000000" w:themeColor="text1"/>
          <w:lang w:val="en-US"/>
        </w:rPr>
        <w:t xml:space="preserve">100 </w:t>
      </w:r>
      <w:r w:rsidR="00BA3523">
        <w:rPr>
          <w:i/>
          <w:color w:val="000000" w:themeColor="text1"/>
          <w:lang w:val="en-US"/>
        </w:rPr>
        <w:t>%</w:t>
      </w:r>
      <w:r w:rsidR="00B342E7" w:rsidRPr="00D8196F">
        <w:rPr>
          <w:i/>
          <w:color w:val="000000" w:themeColor="text1"/>
          <w:lang w:val="en-US"/>
        </w:rPr>
        <w:t xml:space="preserve"> 3 = </w:t>
      </w:r>
      <w:r w:rsidR="00B342E7" w:rsidRPr="002750FD">
        <w:rPr>
          <w:b/>
          <w:i/>
          <w:color w:val="000000" w:themeColor="text1"/>
          <w:lang w:val="en-US"/>
        </w:rPr>
        <w:t>1</w:t>
      </w:r>
      <w:r w:rsidR="00B342E7">
        <w:rPr>
          <w:i/>
          <w:color w:val="000000" w:themeColor="text1"/>
          <w:lang w:val="en-US"/>
        </w:rPr>
        <w:t xml:space="preserve">) will be allotted </w:t>
      </w:r>
      <w:r w:rsidR="00852A39">
        <w:rPr>
          <w:i/>
          <w:color w:val="000000" w:themeColor="text1"/>
          <w:lang w:val="en-US"/>
        </w:rPr>
        <w:t xml:space="preserve">to the </w:t>
      </w:r>
      <w:r w:rsidR="00D15A14" w:rsidRPr="00DE4F2B">
        <w:rPr>
          <w:b/>
          <w:i/>
          <w:color w:val="000000" w:themeColor="text1"/>
          <w:lang w:val="en-US"/>
        </w:rPr>
        <w:t>first seller</w:t>
      </w:r>
      <w:r w:rsidR="00D15A14">
        <w:rPr>
          <w:i/>
          <w:color w:val="000000" w:themeColor="text1"/>
          <w:lang w:val="en-US"/>
        </w:rPr>
        <w:t xml:space="preserve">. </w:t>
      </w:r>
      <w:r w:rsidR="00F65362">
        <w:rPr>
          <w:i/>
          <w:color w:val="000000" w:themeColor="text1"/>
          <w:lang w:val="en-US"/>
        </w:rPr>
        <w:t>Therefore, S</w:t>
      </w:r>
      <w:r w:rsidR="00C87D22" w:rsidRPr="006E451E">
        <w:rPr>
          <w:i/>
          <w:color w:val="000000" w:themeColor="text1"/>
          <w:lang w:val="en-US"/>
        </w:rPr>
        <w:t xml:space="preserve">eller </w:t>
      </w:r>
      <w:r w:rsidR="00370DD3">
        <w:rPr>
          <w:i/>
          <w:color w:val="000000" w:themeColor="text1"/>
          <w:lang w:val="en-US"/>
        </w:rPr>
        <w:t>A</w:t>
      </w:r>
      <w:r w:rsidR="00522A66">
        <w:rPr>
          <w:i/>
          <w:color w:val="000000" w:themeColor="text1"/>
          <w:lang w:val="en-US"/>
        </w:rPr>
        <w:t xml:space="preserve">, being the </w:t>
      </w:r>
      <w:r w:rsidR="00D15A14">
        <w:rPr>
          <w:i/>
          <w:color w:val="000000" w:themeColor="text1"/>
          <w:lang w:val="en-US"/>
        </w:rPr>
        <w:t xml:space="preserve">first to short the calls, </w:t>
      </w:r>
      <w:r w:rsidR="004C135B">
        <w:rPr>
          <w:i/>
          <w:color w:val="000000" w:themeColor="text1"/>
          <w:lang w:val="en-US"/>
        </w:rPr>
        <w:t xml:space="preserve">will </w:t>
      </w:r>
      <w:r w:rsidR="00210909">
        <w:rPr>
          <w:i/>
          <w:color w:val="000000" w:themeColor="text1"/>
          <w:lang w:val="en-US"/>
        </w:rPr>
        <w:t xml:space="preserve">have been exercised on </w:t>
      </w:r>
      <w:r w:rsidR="00522A66">
        <w:rPr>
          <w:i/>
          <w:color w:val="000000" w:themeColor="text1"/>
          <w:lang w:val="en-US"/>
        </w:rPr>
        <w:t>66 calls, rather than 67</w:t>
      </w:r>
      <w:r w:rsidR="00210909">
        <w:rPr>
          <w:i/>
          <w:color w:val="000000" w:themeColor="text1"/>
          <w:lang w:val="en-US"/>
        </w:rPr>
        <w:t>,</w:t>
      </w:r>
      <w:r w:rsidR="00522A66">
        <w:rPr>
          <w:i/>
          <w:color w:val="000000" w:themeColor="text1"/>
          <w:lang w:val="en-US"/>
        </w:rPr>
        <w:t xml:space="preserve"> as the others.</w:t>
      </w:r>
      <w:r w:rsidR="004C135B">
        <w:rPr>
          <w:i/>
          <w:color w:val="000000" w:themeColor="text1"/>
          <w:lang w:val="en-US"/>
        </w:rPr>
        <w:t xml:space="preserve"> </w:t>
      </w:r>
    </w:p>
    <w:p w14:paraId="3A80834A" w14:textId="417F9ADA" w:rsidR="00246A97" w:rsidRDefault="00CE4F19" w:rsidP="00DE4F2B">
      <w:pPr>
        <w:spacing w:before="120" w:after="120" w:line="240" w:lineRule="auto"/>
        <w:ind w:left="425"/>
        <w:jc w:val="both"/>
        <w:rPr>
          <w:rFonts w:cs="Arial"/>
          <w:b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lastRenderedPageBreak/>
        <w:t>Additionally</w:t>
      </w:r>
      <w:r w:rsidR="0092177B">
        <w:rPr>
          <w:i/>
          <w:color w:val="000000" w:themeColor="text1"/>
          <w:lang w:val="en-US"/>
        </w:rPr>
        <w:t xml:space="preserve">, </w:t>
      </w:r>
      <w:r w:rsidR="00EC1408">
        <w:rPr>
          <w:i/>
          <w:color w:val="000000" w:themeColor="text1"/>
          <w:lang w:val="en-US"/>
        </w:rPr>
        <w:t xml:space="preserve">in an uneven allotment, a situation may arise where the remainder of options </w:t>
      </w:r>
      <w:r w:rsidR="00464C26">
        <w:rPr>
          <w:i/>
          <w:color w:val="000000" w:themeColor="text1"/>
          <w:lang w:val="en-US"/>
        </w:rPr>
        <w:t>expiring</w:t>
      </w:r>
      <w:r w:rsidR="00EC1408">
        <w:rPr>
          <w:i/>
          <w:color w:val="000000" w:themeColor="text1"/>
          <w:lang w:val="en-US"/>
        </w:rPr>
        <w:t xml:space="preserve"> unexercised is </w:t>
      </w:r>
      <w:r w:rsidR="007054FF">
        <w:rPr>
          <w:i/>
          <w:color w:val="000000" w:themeColor="text1"/>
          <w:lang w:val="en-US"/>
        </w:rPr>
        <w:t xml:space="preserve">bigger </w:t>
      </w:r>
      <w:r w:rsidR="00EC1408">
        <w:rPr>
          <w:i/>
          <w:color w:val="000000" w:themeColor="text1"/>
          <w:lang w:val="en-US"/>
        </w:rPr>
        <w:t>than the position</w:t>
      </w:r>
      <w:r w:rsidR="00744C05">
        <w:rPr>
          <w:rStyle w:val="ac"/>
          <w:i/>
          <w:color w:val="000000" w:themeColor="text1"/>
          <w:lang w:val="en-US"/>
        </w:rPr>
        <w:footnoteReference w:id="8"/>
      </w:r>
      <w:r w:rsidR="00EC1408">
        <w:rPr>
          <w:i/>
          <w:color w:val="000000" w:themeColor="text1"/>
          <w:lang w:val="en-US"/>
        </w:rPr>
        <w:t xml:space="preserve"> of the first seller. In that case, the remainder would be split between the sellers using the same </w:t>
      </w:r>
      <w:r w:rsidR="00AB4F3F">
        <w:rPr>
          <w:i/>
          <w:color w:val="000000" w:themeColor="text1"/>
          <w:lang w:val="en-US"/>
        </w:rPr>
        <w:t xml:space="preserve">time-based </w:t>
      </w:r>
      <w:r w:rsidR="00EC1408">
        <w:rPr>
          <w:i/>
          <w:color w:val="000000" w:themeColor="text1"/>
          <w:lang w:val="en-US"/>
        </w:rPr>
        <w:t>algorithm</w:t>
      </w:r>
      <w:r w:rsidR="006C4173">
        <w:rPr>
          <w:i/>
          <w:color w:val="000000" w:themeColor="text1"/>
          <w:lang w:val="en-US"/>
        </w:rPr>
        <w:t>:</w:t>
      </w:r>
      <w:r w:rsidR="00EC1408">
        <w:rPr>
          <w:i/>
          <w:color w:val="000000" w:themeColor="text1"/>
          <w:lang w:val="en-US"/>
        </w:rPr>
        <w:t xml:space="preserve"> </w:t>
      </w:r>
      <w:r w:rsidR="006C4173">
        <w:rPr>
          <w:i/>
          <w:color w:val="000000" w:themeColor="text1"/>
          <w:lang w:val="en-US"/>
        </w:rPr>
        <w:t>t</w:t>
      </w:r>
      <w:r w:rsidR="00EC1408">
        <w:rPr>
          <w:i/>
          <w:color w:val="000000" w:themeColor="text1"/>
          <w:lang w:val="en-US"/>
        </w:rPr>
        <w:t xml:space="preserve">he first seller would be allotted the total amount of his position and the second seller would receive the rest; if the second remainder is also </w:t>
      </w:r>
      <w:r w:rsidR="007054FF">
        <w:rPr>
          <w:i/>
          <w:color w:val="000000" w:themeColor="text1"/>
          <w:lang w:val="en-US"/>
        </w:rPr>
        <w:t>bigger</w:t>
      </w:r>
      <w:r w:rsidR="00EC1408">
        <w:rPr>
          <w:i/>
          <w:color w:val="000000" w:themeColor="text1"/>
          <w:lang w:val="en-US"/>
        </w:rPr>
        <w:t xml:space="preserve"> than the second seller’s position size, it goes on to the third seller in line, and so on</w:t>
      </w:r>
      <w:r w:rsidR="0025407B">
        <w:rPr>
          <w:i/>
          <w:color w:val="000000" w:themeColor="text1"/>
          <w:lang w:val="en-US"/>
        </w:rPr>
        <w:t>.</w:t>
      </w:r>
    </w:p>
    <w:p w14:paraId="4B77EA30" w14:textId="77777777" w:rsidR="00EC1408" w:rsidRPr="00DE4F2B" w:rsidRDefault="00EC1408" w:rsidP="00DE4F2B">
      <w:pPr>
        <w:spacing w:before="120" w:after="120" w:line="240" w:lineRule="auto"/>
        <w:ind w:left="425"/>
        <w:jc w:val="both"/>
        <w:rPr>
          <w:rFonts w:cs="Arial"/>
          <w:b/>
          <w:color w:val="000000" w:themeColor="text1"/>
          <w:lang w:val="en-US"/>
        </w:rPr>
      </w:pPr>
    </w:p>
    <w:p w14:paraId="551D6C38" w14:textId="43880DD5" w:rsidR="00C87D22" w:rsidRPr="000D7968" w:rsidRDefault="00C87D22" w:rsidP="00C87D22">
      <w:pPr>
        <w:rPr>
          <w:rFonts w:cs="Arial"/>
          <w:b/>
          <w:color w:val="000000" w:themeColor="text1"/>
          <w:lang w:val="en-US"/>
        </w:rPr>
      </w:pPr>
      <w:proofErr w:type="gramStart"/>
      <w:r>
        <w:rPr>
          <w:rFonts w:cs="Arial"/>
          <w:b/>
          <w:color w:val="000000" w:themeColor="text1"/>
          <w:lang w:val="en-US"/>
        </w:rPr>
        <w:t>Section</w:t>
      </w:r>
      <w:r w:rsidRPr="000D7968">
        <w:rPr>
          <w:rFonts w:cs="Arial"/>
          <w:b/>
          <w:color w:val="000000" w:themeColor="text1"/>
          <w:lang w:val="en-US"/>
        </w:rPr>
        <w:t xml:space="preserve"> 3.</w:t>
      </w:r>
      <w:proofErr w:type="gramEnd"/>
      <w:r w:rsidRPr="000D7968">
        <w:rPr>
          <w:rFonts w:cs="Arial"/>
          <w:b/>
          <w:color w:val="000000" w:themeColor="text1"/>
          <w:lang w:val="en-US"/>
        </w:rPr>
        <w:t xml:space="preserve"> </w:t>
      </w:r>
      <w:r w:rsidR="004828C5">
        <w:rPr>
          <w:rFonts w:cs="Arial"/>
          <w:b/>
          <w:color w:val="000000" w:themeColor="text1"/>
          <w:lang w:val="en-US"/>
        </w:rPr>
        <w:t xml:space="preserve">Changes to risk management under </w:t>
      </w:r>
      <w:r>
        <w:rPr>
          <w:rFonts w:cs="Arial"/>
          <w:b/>
          <w:color w:val="000000" w:themeColor="text1"/>
          <w:lang w:val="en-US"/>
        </w:rPr>
        <w:t>automatic exercise</w:t>
      </w:r>
    </w:p>
    <w:p w14:paraId="64CD7F0D" w14:textId="7D88D30A" w:rsidR="00C87D22" w:rsidRDefault="00C87D22" w:rsidP="00C87D22">
      <w:pPr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For options approaching </w:t>
      </w:r>
      <w:r w:rsidR="001E70C1">
        <w:rPr>
          <w:rFonts w:cs="Arial"/>
          <w:color w:val="000000" w:themeColor="text1"/>
          <w:lang w:val="en-US"/>
        </w:rPr>
        <w:t xml:space="preserve">expiration, </w:t>
      </w:r>
      <w:r>
        <w:rPr>
          <w:rFonts w:cs="Arial"/>
          <w:color w:val="000000" w:themeColor="text1"/>
          <w:lang w:val="en-US"/>
        </w:rPr>
        <w:t>margin</w:t>
      </w:r>
      <w:r w:rsidRPr="0048617A">
        <w:rPr>
          <w:rFonts w:cs="Arial"/>
          <w:color w:val="000000" w:themeColor="text1"/>
          <w:lang w:val="en-US"/>
        </w:rPr>
        <w:t xml:space="preserve"> </w:t>
      </w:r>
      <w:r w:rsidR="00765863">
        <w:rPr>
          <w:rFonts w:cs="Arial"/>
          <w:color w:val="000000" w:themeColor="text1"/>
          <w:lang w:val="en-US"/>
        </w:rPr>
        <w:t xml:space="preserve">requirements </w:t>
      </w:r>
      <w:r w:rsidR="00392C3E">
        <w:rPr>
          <w:rFonts w:cs="Arial"/>
          <w:color w:val="000000" w:themeColor="text1"/>
          <w:lang w:val="en-US"/>
        </w:rPr>
        <w:t xml:space="preserve">will </w:t>
      </w:r>
      <w:r>
        <w:rPr>
          <w:rFonts w:cs="Arial"/>
          <w:color w:val="000000" w:themeColor="text1"/>
          <w:lang w:val="en-US"/>
        </w:rPr>
        <w:t>now</w:t>
      </w:r>
      <w:r w:rsidRPr="0048617A">
        <w:rPr>
          <w:rFonts w:cs="Arial"/>
          <w:color w:val="000000" w:themeColor="text1"/>
          <w:lang w:val="en-US"/>
        </w:rPr>
        <w:t xml:space="preserve"> </w:t>
      </w:r>
      <w:r w:rsidR="00392C3E">
        <w:rPr>
          <w:rFonts w:cs="Arial"/>
          <w:color w:val="000000" w:themeColor="text1"/>
          <w:lang w:val="en-US"/>
        </w:rPr>
        <w:t xml:space="preserve">be </w:t>
      </w:r>
      <w:r>
        <w:rPr>
          <w:rFonts w:cs="Arial"/>
          <w:color w:val="000000" w:themeColor="text1"/>
          <w:lang w:val="en-US"/>
        </w:rPr>
        <w:t>calculated</w:t>
      </w:r>
      <w:r w:rsidRPr="0048617A">
        <w:rPr>
          <w:rFonts w:cs="Arial"/>
          <w:color w:val="000000" w:themeColor="text1"/>
          <w:lang w:val="en-US"/>
        </w:rPr>
        <w:t xml:space="preserve"> </w:t>
      </w:r>
      <w:r>
        <w:rPr>
          <w:rFonts w:cs="Arial"/>
          <w:color w:val="000000" w:themeColor="text1"/>
          <w:lang w:val="en-US"/>
        </w:rPr>
        <w:t>as</w:t>
      </w:r>
      <w:r w:rsidRPr="0048617A">
        <w:rPr>
          <w:rFonts w:cs="Arial"/>
          <w:color w:val="000000" w:themeColor="text1"/>
          <w:lang w:val="en-US"/>
        </w:rPr>
        <w:t xml:space="preserve"> </w:t>
      </w:r>
      <w:r>
        <w:rPr>
          <w:rFonts w:cs="Arial"/>
          <w:color w:val="000000" w:themeColor="text1"/>
          <w:lang w:val="en-US"/>
        </w:rPr>
        <w:t>follows:</w:t>
      </w:r>
    </w:p>
    <w:p w14:paraId="3A900657" w14:textId="18AD83D6" w:rsidR="00C87D22" w:rsidRPr="0048617A" w:rsidRDefault="00C87D22" w:rsidP="00C87D22">
      <w:pPr>
        <w:pStyle w:val="a6"/>
        <w:numPr>
          <w:ilvl w:val="0"/>
          <w:numId w:val="13"/>
        </w:numPr>
        <w:ind w:left="426" w:hanging="426"/>
        <w:jc w:val="both"/>
        <w:rPr>
          <w:rFonts w:asciiTheme="minorHAnsi" w:hAnsiTheme="minorHAnsi" w:cs="Arial"/>
          <w:color w:val="000000" w:themeColor="text1"/>
          <w:lang w:val="en-US"/>
        </w:rPr>
      </w:pPr>
      <w:r>
        <w:rPr>
          <w:rFonts w:asciiTheme="minorHAnsi" w:hAnsiTheme="minorHAnsi" w:cs="Arial"/>
          <w:color w:val="000000" w:themeColor="text1"/>
          <w:lang w:val="en-US"/>
        </w:rPr>
        <w:t xml:space="preserve">Exercise scenarios are added to volatility scenarios two days before the </w:t>
      </w:r>
      <w:r w:rsidR="00C572B6">
        <w:rPr>
          <w:rFonts w:asciiTheme="minorHAnsi" w:hAnsiTheme="minorHAnsi" w:cs="Arial"/>
          <w:color w:val="000000" w:themeColor="text1"/>
          <w:lang w:val="en-US"/>
        </w:rPr>
        <w:t xml:space="preserve">expiration </w:t>
      </w:r>
      <w:r>
        <w:rPr>
          <w:rFonts w:asciiTheme="minorHAnsi" w:hAnsiTheme="minorHAnsi" w:cs="Arial"/>
          <w:color w:val="000000" w:themeColor="text1"/>
          <w:lang w:val="en-US"/>
        </w:rPr>
        <w:t>date</w:t>
      </w:r>
      <w:r w:rsidR="007A42EA">
        <w:rPr>
          <w:rFonts w:asciiTheme="minorHAnsi" w:hAnsiTheme="minorHAnsi" w:cs="Arial"/>
          <w:color w:val="000000" w:themeColor="text1"/>
          <w:lang w:val="en-US"/>
        </w:rPr>
        <w:t>;</w:t>
      </w:r>
    </w:p>
    <w:p w14:paraId="425011AB" w14:textId="29DCDD9D" w:rsidR="00C87D22" w:rsidRPr="0048617A" w:rsidRDefault="00C87D22" w:rsidP="00C87D22">
      <w:pPr>
        <w:pStyle w:val="a6"/>
        <w:numPr>
          <w:ilvl w:val="0"/>
          <w:numId w:val="13"/>
        </w:numPr>
        <w:ind w:left="426" w:hanging="426"/>
        <w:jc w:val="both"/>
        <w:rPr>
          <w:rFonts w:asciiTheme="minorHAnsi" w:hAnsiTheme="minorHAnsi" w:cs="Arial"/>
          <w:color w:val="000000" w:themeColor="text1"/>
          <w:lang w:val="en-US"/>
        </w:rPr>
      </w:pPr>
      <w:r>
        <w:rPr>
          <w:rFonts w:asciiTheme="minorHAnsi" w:hAnsiTheme="minorHAnsi" w:cs="Arial"/>
          <w:color w:val="000000" w:themeColor="text1"/>
          <w:lang w:val="en-US"/>
        </w:rPr>
        <w:t>For each exercise scenario</w:t>
      </w:r>
      <w:r w:rsidR="00313CA7">
        <w:rPr>
          <w:rFonts w:asciiTheme="minorHAnsi" w:hAnsiTheme="minorHAnsi" w:cs="Arial"/>
          <w:color w:val="000000" w:themeColor="text1"/>
          <w:lang w:val="en-US"/>
        </w:rPr>
        <w:t>,</w:t>
      </w:r>
      <w:r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0026D6">
        <w:rPr>
          <w:rFonts w:asciiTheme="minorHAnsi" w:hAnsiTheme="minorHAnsi" w:cs="Arial"/>
          <w:color w:val="000000" w:themeColor="text1"/>
          <w:lang w:val="en-US"/>
        </w:rPr>
        <w:t xml:space="preserve">a </w:t>
      </w:r>
      <w:r w:rsidR="004D296B">
        <w:rPr>
          <w:rFonts w:asciiTheme="minorHAnsi" w:hAnsiTheme="minorHAnsi" w:cs="Arial"/>
          <w:color w:val="000000" w:themeColor="text1"/>
          <w:lang w:val="en-US"/>
        </w:rPr>
        <w:t xml:space="preserve">risk profile is calculated for </w:t>
      </w:r>
      <w:r w:rsidR="00DA16AD">
        <w:rPr>
          <w:rFonts w:asciiTheme="minorHAnsi" w:hAnsiTheme="minorHAnsi" w:cs="Arial"/>
          <w:color w:val="000000" w:themeColor="text1"/>
          <w:lang w:val="en-US"/>
        </w:rPr>
        <w:t xml:space="preserve">a </w:t>
      </w:r>
      <w:r w:rsidR="004D296B">
        <w:rPr>
          <w:rFonts w:asciiTheme="minorHAnsi" w:hAnsiTheme="minorHAnsi" w:cs="Arial"/>
          <w:color w:val="000000" w:themeColor="text1"/>
          <w:lang w:val="en-US"/>
        </w:rPr>
        <w:t>model</w:t>
      </w:r>
      <w:r>
        <w:rPr>
          <w:rFonts w:asciiTheme="minorHAnsi" w:hAnsiTheme="minorHAnsi" w:cs="Arial"/>
          <w:color w:val="000000" w:themeColor="text1"/>
          <w:lang w:val="en-US"/>
        </w:rPr>
        <w:t xml:space="preserve"> portfolio</w:t>
      </w:r>
      <w:r w:rsidR="006C5BE0">
        <w:rPr>
          <w:rFonts w:asciiTheme="minorHAnsi" w:hAnsiTheme="minorHAnsi" w:cs="Arial"/>
          <w:color w:val="000000" w:themeColor="text1"/>
          <w:lang w:val="en-US"/>
        </w:rPr>
        <w:t>, consisting</w:t>
      </w:r>
      <w:r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850000">
        <w:rPr>
          <w:rFonts w:asciiTheme="minorHAnsi" w:hAnsiTheme="minorHAnsi" w:cs="Arial"/>
          <w:color w:val="000000" w:themeColor="text1"/>
          <w:lang w:val="en-US"/>
        </w:rPr>
        <w:t xml:space="preserve">of exercised </w:t>
      </w:r>
      <w:r w:rsidR="004719BC">
        <w:rPr>
          <w:rFonts w:asciiTheme="minorHAnsi" w:hAnsiTheme="minorHAnsi" w:cs="Arial"/>
          <w:color w:val="000000" w:themeColor="text1"/>
          <w:lang w:val="en-US"/>
        </w:rPr>
        <w:t xml:space="preserve">ITM </w:t>
      </w:r>
      <w:r>
        <w:rPr>
          <w:rFonts w:asciiTheme="minorHAnsi" w:hAnsiTheme="minorHAnsi" w:cs="Arial"/>
          <w:color w:val="000000" w:themeColor="text1"/>
          <w:lang w:val="en-US"/>
        </w:rPr>
        <w:t xml:space="preserve">and </w:t>
      </w:r>
      <w:r w:rsidR="00850000">
        <w:rPr>
          <w:rFonts w:asciiTheme="minorHAnsi" w:hAnsiTheme="minorHAnsi" w:cs="Arial"/>
          <w:color w:val="000000" w:themeColor="text1"/>
          <w:lang w:val="en-US"/>
        </w:rPr>
        <w:t xml:space="preserve">unexercised </w:t>
      </w:r>
      <w:r w:rsidR="004719BC">
        <w:rPr>
          <w:rFonts w:asciiTheme="minorHAnsi" w:hAnsiTheme="minorHAnsi" w:cs="Arial"/>
          <w:color w:val="000000" w:themeColor="text1"/>
          <w:lang w:val="en-US"/>
        </w:rPr>
        <w:t xml:space="preserve">OTM </w:t>
      </w:r>
      <w:r>
        <w:rPr>
          <w:rFonts w:asciiTheme="minorHAnsi" w:hAnsiTheme="minorHAnsi" w:cs="Arial"/>
          <w:color w:val="000000" w:themeColor="text1"/>
          <w:lang w:val="en-US"/>
        </w:rPr>
        <w:t>options</w:t>
      </w:r>
      <w:r w:rsidR="007A42EA">
        <w:rPr>
          <w:rFonts w:asciiTheme="minorHAnsi" w:hAnsiTheme="minorHAnsi" w:cs="Arial"/>
          <w:color w:val="000000" w:themeColor="text1"/>
          <w:lang w:val="en-US"/>
        </w:rPr>
        <w:t>;</w:t>
      </w:r>
    </w:p>
    <w:p w14:paraId="349B3FE5" w14:textId="2937324A" w:rsidR="009E4953" w:rsidRDefault="009E4953" w:rsidP="00C87D22">
      <w:pPr>
        <w:pStyle w:val="a6"/>
        <w:numPr>
          <w:ilvl w:val="0"/>
          <w:numId w:val="13"/>
        </w:numPr>
        <w:ind w:left="426" w:hanging="426"/>
        <w:jc w:val="both"/>
        <w:rPr>
          <w:rFonts w:asciiTheme="minorHAnsi" w:hAnsiTheme="minorHAnsi" w:cs="Arial"/>
          <w:color w:val="000000" w:themeColor="text1"/>
          <w:lang w:val="en-US"/>
        </w:rPr>
      </w:pPr>
      <w:r>
        <w:rPr>
          <w:rFonts w:asciiTheme="minorHAnsi" w:hAnsiTheme="minorHAnsi" w:cs="Arial"/>
          <w:color w:val="000000" w:themeColor="text1"/>
          <w:lang w:val="en-US"/>
        </w:rPr>
        <w:t xml:space="preserve">In the new </w:t>
      </w:r>
      <w:r w:rsidR="00BE54FF">
        <w:rPr>
          <w:rFonts w:asciiTheme="minorHAnsi" w:hAnsiTheme="minorHAnsi" w:cs="Arial"/>
          <w:color w:val="000000" w:themeColor="text1"/>
          <w:lang w:val="en-US"/>
        </w:rPr>
        <w:t xml:space="preserve">risk management </w:t>
      </w:r>
      <w:r>
        <w:rPr>
          <w:rFonts w:asciiTheme="minorHAnsi" w:hAnsiTheme="minorHAnsi" w:cs="Arial"/>
          <w:color w:val="000000" w:themeColor="text1"/>
          <w:lang w:val="en-US"/>
        </w:rPr>
        <w:t>algorithm, “</w:t>
      </w:r>
      <w:proofErr w:type="spellStart"/>
      <w:r>
        <w:rPr>
          <w:rFonts w:asciiTheme="minorHAnsi" w:hAnsiTheme="minorHAnsi" w:cs="Arial"/>
          <w:color w:val="000000" w:themeColor="text1"/>
          <w:lang w:val="en-US"/>
        </w:rPr>
        <w:t>NetPositive</w:t>
      </w:r>
      <w:proofErr w:type="spellEnd"/>
      <w:r>
        <w:rPr>
          <w:rFonts w:asciiTheme="minorHAnsi" w:hAnsiTheme="minorHAnsi" w:cs="Arial"/>
          <w:color w:val="000000" w:themeColor="text1"/>
          <w:lang w:val="en-US"/>
        </w:rPr>
        <w:t>”</w:t>
      </w:r>
      <w:r>
        <w:rPr>
          <w:rStyle w:val="ac"/>
          <w:rFonts w:asciiTheme="minorHAnsi" w:hAnsiTheme="minorHAnsi" w:cs="Arial"/>
          <w:color w:val="000000" w:themeColor="text1"/>
          <w:lang w:val="en-US"/>
        </w:rPr>
        <w:footnoteReference w:id="9"/>
      </w:r>
      <w:r>
        <w:rPr>
          <w:rFonts w:asciiTheme="minorHAnsi" w:hAnsiTheme="minorHAnsi" w:cs="Arial"/>
          <w:color w:val="000000" w:themeColor="text1"/>
          <w:lang w:val="en-US"/>
        </w:rPr>
        <w:t xml:space="preserve"> is always enabled. </w:t>
      </w:r>
    </w:p>
    <w:p w14:paraId="14C2B3B3" w14:textId="02EC4BB5" w:rsidR="00C87D22" w:rsidRPr="0048617A" w:rsidRDefault="009D42BA" w:rsidP="00DE4F2B">
      <w:pPr>
        <w:pStyle w:val="a6"/>
        <w:numPr>
          <w:ilvl w:val="1"/>
          <w:numId w:val="13"/>
        </w:numPr>
        <w:jc w:val="both"/>
        <w:rPr>
          <w:rFonts w:asciiTheme="minorHAnsi" w:hAnsiTheme="minorHAnsi" w:cs="Arial"/>
          <w:color w:val="000000" w:themeColor="text1"/>
          <w:lang w:val="en-US"/>
        </w:rPr>
      </w:pPr>
      <w:r>
        <w:rPr>
          <w:rFonts w:asciiTheme="minorHAnsi" w:hAnsiTheme="minorHAnsi" w:cs="Arial"/>
          <w:color w:val="000000" w:themeColor="text1"/>
          <w:lang w:val="en-US"/>
        </w:rPr>
        <w:t>In t</w:t>
      </w:r>
      <w:r w:rsidR="00C87D22">
        <w:rPr>
          <w:rFonts w:asciiTheme="minorHAnsi" w:hAnsiTheme="minorHAnsi" w:cs="Arial"/>
          <w:color w:val="000000" w:themeColor="text1"/>
          <w:lang w:val="en-US"/>
        </w:rPr>
        <w:t xml:space="preserve">he existing </w:t>
      </w:r>
      <w:r w:rsidR="00470DBF">
        <w:rPr>
          <w:rFonts w:asciiTheme="minorHAnsi" w:hAnsiTheme="minorHAnsi" w:cs="Arial"/>
          <w:color w:val="000000" w:themeColor="text1"/>
          <w:lang w:val="en-US"/>
        </w:rPr>
        <w:t xml:space="preserve">(old) </w:t>
      </w:r>
      <w:r w:rsidR="00C87D22">
        <w:rPr>
          <w:rFonts w:asciiTheme="minorHAnsi" w:hAnsiTheme="minorHAnsi" w:cs="Arial"/>
          <w:color w:val="000000" w:themeColor="text1"/>
          <w:lang w:val="en-US"/>
        </w:rPr>
        <w:t>algorithm</w:t>
      </w:r>
      <w:r>
        <w:rPr>
          <w:rFonts w:asciiTheme="minorHAnsi" w:hAnsiTheme="minorHAnsi" w:cs="Arial"/>
          <w:color w:val="000000" w:themeColor="text1"/>
          <w:lang w:val="en-US"/>
        </w:rPr>
        <w:t>,</w:t>
      </w:r>
      <w:r w:rsidR="00C87D22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1D2AAF">
        <w:rPr>
          <w:rFonts w:asciiTheme="minorHAnsi" w:hAnsiTheme="minorHAnsi" w:cs="Arial"/>
          <w:color w:val="000000" w:themeColor="text1"/>
          <w:lang w:val="en-US"/>
        </w:rPr>
        <w:t>“</w:t>
      </w:r>
      <w:proofErr w:type="spellStart"/>
      <w:r w:rsidR="009B02A9">
        <w:rPr>
          <w:rFonts w:asciiTheme="minorHAnsi" w:hAnsiTheme="minorHAnsi" w:cs="Arial"/>
          <w:color w:val="000000" w:themeColor="text1"/>
          <w:lang w:val="en-US"/>
        </w:rPr>
        <w:t>NetPositive</w:t>
      </w:r>
      <w:proofErr w:type="spellEnd"/>
      <w:r w:rsidR="001D2AAF">
        <w:rPr>
          <w:rFonts w:asciiTheme="minorHAnsi" w:hAnsiTheme="minorHAnsi" w:cs="Arial"/>
          <w:color w:val="000000" w:themeColor="text1"/>
          <w:lang w:val="en-US"/>
        </w:rPr>
        <w:t>”</w:t>
      </w:r>
      <w:r w:rsidR="009B02A9">
        <w:rPr>
          <w:rFonts w:asciiTheme="minorHAnsi" w:hAnsiTheme="minorHAnsi" w:cs="Arial"/>
          <w:color w:val="000000" w:themeColor="text1"/>
          <w:lang w:val="en-US"/>
        </w:rPr>
        <w:t xml:space="preserve"> is switched off</w:t>
      </w:r>
      <w:r w:rsidR="009B02A9" w:rsidRPr="009B02A9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9B02A9">
        <w:rPr>
          <w:rFonts w:asciiTheme="minorHAnsi" w:hAnsiTheme="minorHAnsi" w:cs="Arial"/>
          <w:color w:val="000000" w:themeColor="text1"/>
          <w:lang w:val="en-US"/>
        </w:rPr>
        <w:t>one day before options expir</w:t>
      </w:r>
      <w:r w:rsidR="00985009">
        <w:rPr>
          <w:rFonts w:asciiTheme="minorHAnsi" w:hAnsiTheme="minorHAnsi" w:cs="Arial"/>
          <w:color w:val="000000" w:themeColor="text1"/>
          <w:lang w:val="en-US"/>
        </w:rPr>
        <w:t>e</w:t>
      </w:r>
      <w:r w:rsidR="00CB70B8">
        <w:rPr>
          <w:rFonts w:asciiTheme="minorHAnsi" w:hAnsiTheme="minorHAnsi" w:cs="Arial"/>
          <w:color w:val="000000" w:themeColor="text1"/>
          <w:lang w:val="en-US"/>
        </w:rPr>
        <w:t>.</w:t>
      </w:r>
    </w:p>
    <w:p w14:paraId="02BA2740" w14:textId="77921E18" w:rsidR="00246A97" w:rsidRPr="00DE4F2B" w:rsidRDefault="00246A97" w:rsidP="00C87D22">
      <w:pPr>
        <w:spacing w:before="120" w:after="0" w:line="240" w:lineRule="auto"/>
        <w:rPr>
          <w:rFonts w:cs="Arial"/>
          <w:b/>
          <w:color w:val="000000" w:themeColor="text1"/>
          <w:lang w:val="en-US"/>
        </w:rPr>
      </w:pPr>
    </w:p>
    <w:p w14:paraId="0C74A70F" w14:textId="019C194F" w:rsidR="00C87D22" w:rsidRPr="00DE4F2B" w:rsidRDefault="00C87D22" w:rsidP="00DE4F2B">
      <w:pPr>
        <w:rPr>
          <w:rFonts w:cs="Arial"/>
          <w:b/>
          <w:color w:val="000000" w:themeColor="text1"/>
          <w:lang w:val="en-US"/>
        </w:rPr>
      </w:pPr>
      <w:proofErr w:type="gramStart"/>
      <w:r>
        <w:rPr>
          <w:rFonts w:cs="Arial"/>
          <w:b/>
          <w:color w:val="000000" w:themeColor="text1"/>
          <w:lang w:val="en-US"/>
        </w:rPr>
        <w:t xml:space="preserve">Section </w:t>
      </w:r>
      <w:r w:rsidRPr="00DE4F2B">
        <w:rPr>
          <w:rFonts w:cs="Arial"/>
          <w:b/>
          <w:color w:val="000000" w:themeColor="text1"/>
          <w:lang w:val="en-US"/>
        </w:rPr>
        <w:t>4.</w:t>
      </w:r>
      <w:proofErr w:type="gramEnd"/>
      <w:r w:rsidRPr="00DE4F2B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/>
          <w:color w:val="000000" w:themeColor="text1"/>
          <w:lang w:val="en-US"/>
        </w:rPr>
        <w:t>Weekly</w:t>
      </w:r>
      <w:r w:rsidR="000D3CD5">
        <w:rPr>
          <w:rFonts w:cs="Arial"/>
          <w:b/>
          <w:color w:val="000000" w:themeColor="text1"/>
          <w:lang w:val="en-US"/>
        </w:rPr>
        <w:t>s</w:t>
      </w:r>
      <w:proofErr w:type="spellEnd"/>
      <w:r>
        <w:rPr>
          <w:rFonts w:cs="Arial"/>
          <w:b/>
          <w:color w:val="000000" w:themeColor="text1"/>
          <w:lang w:val="en-US"/>
        </w:rPr>
        <w:t xml:space="preserve"> options</w:t>
      </w:r>
    </w:p>
    <w:p w14:paraId="7239936F" w14:textId="3BDCA1BB" w:rsidR="00C87D22" w:rsidRDefault="00C87D22" w:rsidP="00DE4F2B">
      <w:pPr>
        <w:jc w:val="both"/>
        <w:rPr>
          <w:rFonts w:cs="Arial"/>
          <w:color w:val="000000" w:themeColor="text1"/>
          <w:lang w:val="en-US"/>
        </w:rPr>
      </w:pPr>
      <w:proofErr w:type="spellStart"/>
      <w:r>
        <w:rPr>
          <w:rFonts w:cs="Arial"/>
          <w:color w:val="000000" w:themeColor="text1"/>
          <w:lang w:val="en-US"/>
        </w:rPr>
        <w:t>Weekly</w:t>
      </w:r>
      <w:r w:rsidR="00EE36ED">
        <w:rPr>
          <w:rFonts w:cs="Arial"/>
          <w:color w:val="000000" w:themeColor="text1"/>
          <w:lang w:val="en-US"/>
        </w:rPr>
        <w:t>s</w:t>
      </w:r>
      <w:proofErr w:type="spellEnd"/>
      <w:r>
        <w:rPr>
          <w:rFonts w:cs="Arial"/>
          <w:color w:val="000000" w:themeColor="text1"/>
          <w:lang w:val="en-US"/>
        </w:rPr>
        <w:t xml:space="preserve"> expire every Thursday</w:t>
      </w:r>
      <w:r w:rsidR="00B67C48">
        <w:rPr>
          <w:rFonts w:cs="Arial"/>
          <w:color w:val="000000" w:themeColor="text1"/>
          <w:lang w:val="en-US"/>
        </w:rPr>
        <w:t>;</w:t>
      </w:r>
      <w:r>
        <w:rPr>
          <w:rFonts w:cs="Arial"/>
          <w:color w:val="000000" w:themeColor="text1"/>
          <w:lang w:val="en-US"/>
        </w:rPr>
        <w:t xml:space="preserve"> or</w:t>
      </w:r>
      <w:r w:rsidR="000C1C49">
        <w:rPr>
          <w:rFonts w:cs="Arial"/>
          <w:color w:val="000000" w:themeColor="text1"/>
          <w:lang w:val="en-US"/>
        </w:rPr>
        <w:t xml:space="preserve">, if the Derivatives </w:t>
      </w:r>
      <w:r w:rsidR="009C64C5">
        <w:rPr>
          <w:rFonts w:cs="Arial"/>
          <w:color w:val="000000" w:themeColor="text1"/>
          <w:lang w:val="en-US"/>
        </w:rPr>
        <w:t>M</w:t>
      </w:r>
      <w:r w:rsidR="000C1C49">
        <w:rPr>
          <w:rFonts w:cs="Arial"/>
          <w:color w:val="000000" w:themeColor="text1"/>
          <w:lang w:val="en-US"/>
        </w:rPr>
        <w:t>arket</w:t>
      </w:r>
      <w:r w:rsidR="000C1C49" w:rsidDel="009A399F">
        <w:rPr>
          <w:rFonts w:cs="Arial"/>
          <w:color w:val="000000" w:themeColor="text1"/>
          <w:lang w:val="en-US"/>
        </w:rPr>
        <w:t xml:space="preserve"> </w:t>
      </w:r>
      <w:r w:rsidR="000C1C49">
        <w:rPr>
          <w:rFonts w:cs="Arial"/>
          <w:color w:val="000000" w:themeColor="text1"/>
          <w:lang w:val="en-US"/>
        </w:rPr>
        <w:t>is closed on that da</w:t>
      </w:r>
      <w:r w:rsidR="00C742D3">
        <w:rPr>
          <w:rFonts w:cs="Arial"/>
          <w:color w:val="000000" w:themeColor="text1"/>
          <w:lang w:val="en-US"/>
        </w:rPr>
        <w:t>y</w:t>
      </w:r>
      <w:r w:rsidR="000C1C49">
        <w:rPr>
          <w:rFonts w:cs="Arial"/>
          <w:color w:val="000000" w:themeColor="text1"/>
          <w:lang w:val="en-US"/>
        </w:rPr>
        <w:t>,</w:t>
      </w:r>
      <w:r>
        <w:rPr>
          <w:rFonts w:cs="Arial"/>
          <w:color w:val="000000" w:themeColor="text1"/>
          <w:lang w:val="en-US"/>
        </w:rPr>
        <w:t xml:space="preserve"> the trading day preceding Thursday. </w:t>
      </w:r>
      <w:proofErr w:type="spellStart"/>
      <w:r w:rsidR="00D17BCF" w:rsidRPr="00AC6015">
        <w:rPr>
          <w:rFonts w:cs="Arial"/>
          <w:color w:val="000000" w:themeColor="text1"/>
          <w:lang w:val="en-US"/>
        </w:rPr>
        <w:t>M</w:t>
      </w:r>
      <w:r w:rsidR="00D17BCF" w:rsidRPr="00836213">
        <w:rPr>
          <w:rFonts w:cs="Arial"/>
          <w:color w:val="000000" w:themeColor="text1"/>
          <w:lang w:val="en-US"/>
        </w:rPr>
        <w:t>onthlys</w:t>
      </w:r>
      <w:proofErr w:type="spellEnd"/>
      <w:r w:rsidR="00884A07" w:rsidRPr="00C84A72">
        <w:rPr>
          <w:rFonts w:cs="Arial"/>
          <w:color w:val="000000" w:themeColor="text1"/>
          <w:lang w:val="en-US"/>
        </w:rPr>
        <w:t xml:space="preserve"> </w:t>
      </w:r>
      <w:r w:rsidR="00DF1695" w:rsidRPr="00DE4F2B">
        <w:rPr>
          <w:rFonts w:cs="Arial"/>
          <w:color w:val="000000" w:themeColor="text1"/>
          <w:lang w:val="en-US"/>
        </w:rPr>
        <w:t xml:space="preserve">and </w:t>
      </w:r>
      <w:proofErr w:type="spellStart"/>
      <w:r w:rsidR="00DF1695" w:rsidRPr="00DE4F2B">
        <w:rPr>
          <w:rFonts w:cs="Arial"/>
          <w:color w:val="000000" w:themeColor="text1"/>
          <w:lang w:val="en-US"/>
        </w:rPr>
        <w:t>Quarterlys</w:t>
      </w:r>
      <w:proofErr w:type="spellEnd"/>
      <w:r w:rsidR="00DF1695" w:rsidRPr="00DE4F2B">
        <w:rPr>
          <w:rFonts w:cs="Arial"/>
          <w:color w:val="000000" w:themeColor="text1"/>
          <w:lang w:val="en-US"/>
        </w:rPr>
        <w:t xml:space="preserve"> </w:t>
      </w:r>
      <w:r w:rsidR="00884A07" w:rsidRPr="00B13470">
        <w:rPr>
          <w:rFonts w:cs="Arial"/>
          <w:color w:val="000000" w:themeColor="text1"/>
          <w:lang w:val="en-US"/>
        </w:rPr>
        <w:t>expiration date</w:t>
      </w:r>
      <w:r w:rsidR="005B1812" w:rsidRPr="00AC6015">
        <w:rPr>
          <w:rFonts w:cs="Arial"/>
          <w:color w:val="000000" w:themeColor="text1"/>
          <w:lang w:val="en-US"/>
        </w:rPr>
        <w:t>s</w:t>
      </w:r>
      <w:r w:rsidR="00D17BCF" w:rsidRPr="00AC6015">
        <w:rPr>
          <w:rFonts w:cs="Arial"/>
          <w:color w:val="000000" w:themeColor="text1"/>
          <w:lang w:val="en-US"/>
        </w:rPr>
        <w:t xml:space="preserve"> </w:t>
      </w:r>
      <w:r w:rsidR="009E1099" w:rsidRPr="00DE4F2B">
        <w:rPr>
          <w:rFonts w:cs="Arial"/>
          <w:color w:val="000000" w:themeColor="text1"/>
          <w:lang w:val="en-US"/>
        </w:rPr>
        <w:t xml:space="preserve">must </w:t>
      </w:r>
      <w:r w:rsidR="00D17BCF" w:rsidRPr="00B13470">
        <w:rPr>
          <w:rFonts w:cs="Arial"/>
          <w:color w:val="000000" w:themeColor="text1"/>
          <w:lang w:val="en-US"/>
        </w:rPr>
        <w:t xml:space="preserve">not </w:t>
      </w:r>
      <w:r w:rsidR="00884A07" w:rsidRPr="00AC6015">
        <w:rPr>
          <w:rFonts w:cs="Arial"/>
          <w:color w:val="000000" w:themeColor="text1"/>
          <w:lang w:val="en-US"/>
        </w:rPr>
        <w:t xml:space="preserve">coincide </w:t>
      </w:r>
      <w:r w:rsidR="00D17BCF" w:rsidRPr="00AC6015">
        <w:rPr>
          <w:rFonts w:cs="Arial"/>
          <w:color w:val="000000" w:themeColor="text1"/>
          <w:lang w:val="en-US"/>
        </w:rPr>
        <w:t xml:space="preserve">with </w:t>
      </w:r>
      <w:r w:rsidR="00CB4C05" w:rsidRPr="00836213">
        <w:rPr>
          <w:rFonts w:cs="Arial"/>
          <w:color w:val="000000" w:themeColor="text1"/>
          <w:lang w:val="en-US"/>
        </w:rPr>
        <w:t xml:space="preserve">the </w:t>
      </w:r>
      <w:proofErr w:type="spellStart"/>
      <w:r w:rsidR="00D17BCF" w:rsidRPr="00C84A72">
        <w:rPr>
          <w:rFonts w:cs="Arial"/>
          <w:color w:val="000000" w:themeColor="text1"/>
          <w:lang w:val="en-US"/>
        </w:rPr>
        <w:t>Weeklys</w:t>
      </w:r>
      <w:proofErr w:type="spellEnd"/>
      <w:r w:rsidR="00FC1C13" w:rsidRPr="00C84A72">
        <w:rPr>
          <w:rFonts w:cs="Arial"/>
          <w:color w:val="000000" w:themeColor="text1"/>
          <w:lang w:val="en-US"/>
        </w:rPr>
        <w:t>.</w:t>
      </w:r>
      <w:r w:rsidR="00FC1C13">
        <w:rPr>
          <w:rFonts w:cs="Arial"/>
          <w:color w:val="000000" w:themeColor="text1"/>
          <w:lang w:val="en-US"/>
        </w:rPr>
        <w:t xml:space="preserve"> F</w:t>
      </w:r>
      <w:r w:rsidR="00884A07">
        <w:rPr>
          <w:rFonts w:cs="Arial"/>
          <w:color w:val="000000" w:themeColor="text1"/>
          <w:lang w:val="en-US"/>
        </w:rPr>
        <w:t xml:space="preserve">or example, </w:t>
      </w:r>
      <w:proofErr w:type="spellStart"/>
      <w:r w:rsidR="00884A07">
        <w:rPr>
          <w:rFonts w:cs="Arial"/>
          <w:color w:val="000000" w:themeColor="text1"/>
          <w:lang w:val="en-US"/>
        </w:rPr>
        <w:t>Weeklys</w:t>
      </w:r>
      <w:proofErr w:type="spellEnd"/>
      <w:r w:rsidR="00884A07">
        <w:rPr>
          <w:rFonts w:cs="Arial"/>
          <w:color w:val="000000" w:themeColor="text1"/>
          <w:lang w:val="en-US"/>
        </w:rPr>
        <w:t xml:space="preserve"> expiring on a </w:t>
      </w:r>
      <w:r w:rsidR="00954054">
        <w:rPr>
          <w:rFonts w:cs="Arial"/>
          <w:color w:val="000000" w:themeColor="text1"/>
          <w:lang w:val="en-US"/>
        </w:rPr>
        <w:t xml:space="preserve">third </w:t>
      </w:r>
      <w:r w:rsidR="00884A07">
        <w:rPr>
          <w:rFonts w:cs="Arial"/>
          <w:color w:val="000000" w:themeColor="text1"/>
          <w:lang w:val="en-US"/>
        </w:rPr>
        <w:t xml:space="preserve">Thursday will not be </w:t>
      </w:r>
      <w:r w:rsidR="00606200">
        <w:rPr>
          <w:rFonts w:cs="Arial"/>
          <w:color w:val="000000" w:themeColor="text1"/>
          <w:lang w:val="en-US"/>
        </w:rPr>
        <w:t>listed</w:t>
      </w:r>
      <w:r w:rsidR="009A33C8">
        <w:rPr>
          <w:rFonts w:cs="Arial"/>
          <w:color w:val="000000" w:themeColor="text1"/>
          <w:lang w:val="en-US"/>
        </w:rPr>
        <w:t>,</w:t>
      </w:r>
      <w:r w:rsidR="000D42C8">
        <w:rPr>
          <w:rFonts w:cs="Arial"/>
          <w:color w:val="000000" w:themeColor="text1"/>
          <w:lang w:val="en-US"/>
        </w:rPr>
        <w:t xml:space="preserve"> as that would coincide with </w:t>
      </w:r>
      <w:r w:rsidR="00C73937">
        <w:rPr>
          <w:rFonts w:cs="Arial"/>
          <w:color w:val="000000" w:themeColor="text1"/>
          <w:lang w:val="en-US"/>
        </w:rPr>
        <w:t xml:space="preserve">the </w:t>
      </w:r>
      <w:proofErr w:type="spellStart"/>
      <w:r w:rsidR="000D42C8">
        <w:rPr>
          <w:rFonts w:cs="Arial"/>
          <w:color w:val="000000" w:themeColor="text1"/>
          <w:lang w:val="en-US"/>
        </w:rPr>
        <w:t>Monthlys</w:t>
      </w:r>
      <w:proofErr w:type="spellEnd"/>
      <w:r w:rsidR="004000D7">
        <w:rPr>
          <w:rFonts w:cs="Arial"/>
          <w:color w:val="000000" w:themeColor="text1"/>
          <w:lang w:val="en-US"/>
        </w:rPr>
        <w:t xml:space="preserve"> expiration</w:t>
      </w:r>
      <w:r w:rsidR="00D17BCF">
        <w:rPr>
          <w:rFonts w:cs="Arial"/>
          <w:color w:val="000000" w:themeColor="text1"/>
          <w:lang w:val="en-US"/>
        </w:rPr>
        <w:t>.</w:t>
      </w:r>
      <w:r w:rsidR="00027282">
        <w:rPr>
          <w:rStyle w:val="ac"/>
          <w:rFonts w:cs="Arial"/>
          <w:color w:val="000000" w:themeColor="text1"/>
          <w:lang w:val="en-US"/>
        </w:rPr>
        <w:footnoteReference w:id="10"/>
      </w:r>
    </w:p>
    <w:p w14:paraId="0C9C88CA" w14:textId="6AE36F6E" w:rsidR="00B11B72" w:rsidRDefault="00F51FA8" w:rsidP="00DE4F2B">
      <w:pPr>
        <w:jc w:val="both"/>
        <w:rPr>
          <w:rFonts w:cs="Arial"/>
          <w:color w:val="000000" w:themeColor="text1"/>
          <w:lang w:val="en-US"/>
        </w:rPr>
      </w:pPr>
      <w:proofErr w:type="spellStart"/>
      <w:r>
        <w:rPr>
          <w:rFonts w:cs="Arial"/>
          <w:color w:val="000000" w:themeColor="text1"/>
          <w:lang w:val="en-US"/>
        </w:rPr>
        <w:t>Weeklys</w:t>
      </w:r>
      <w:proofErr w:type="spellEnd"/>
      <w:r>
        <w:rPr>
          <w:rFonts w:cs="Arial"/>
          <w:color w:val="000000" w:themeColor="text1"/>
          <w:lang w:val="en-US"/>
        </w:rPr>
        <w:t xml:space="preserve"> options chains will be designated </w:t>
      </w:r>
      <w:r w:rsidR="00CB70B8">
        <w:rPr>
          <w:rFonts w:cs="Arial"/>
          <w:color w:val="000000" w:themeColor="text1"/>
          <w:lang w:val="en-US"/>
        </w:rPr>
        <w:t>by</w:t>
      </w:r>
      <w:r>
        <w:rPr>
          <w:rFonts w:cs="Arial"/>
          <w:color w:val="000000" w:themeColor="text1"/>
          <w:lang w:val="en-US"/>
        </w:rPr>
        <w:t xml:space="preserve"> an additional </w:t>
      </w:r>
      <w:r w:rsidR="00AB5F24">
        <w:rPr>
          <w:rFonts w:cs="Arial"/>
          <w:color w:val="000000" w:themeColor="text1"/>
          <w:lang w:val="en-US"/>
        </w:rPr>
        <w:t>symbol</w:t>
      </w:r>
      <w:r>
        <w:rPr>
          <w:rFonts w:cs="Arial"/>
          <w:color w:val="000000" w:themeColor="text1"/>
          <w:lang w:val="en-US"/>
        </w:rPr>
        <w:t xml:space="preserve"> </w:t>
      </w:r>
      <w:r w:rsidR="001249DC">
        <w:rPr>
          <w:rFonts w:cs="Arial"/>
          <w:color w:val="000000" w:themeColor="text1"/>
          <w:lang w:val="en-US"/>
        </w:rPr>
        <w:t xml:space="preserve">at </w:t>
      </w:r>
      <w:r>
        <w:rPr>
          <w:rFonts w:cs="Arial"/>
          <w:color w:val="000000" w:themeColor="text1"/>
          <w:lang w:val="en-US"/>
        </w:rPr>
        <w:t xml:space="preserve">the end of the </w:t>
      </w:r>
      <w:r w:rsidR="0016415A">
        <w:rPr>
          <w:rFonts w:cs="Arial"/>
          <w:color w:val="000000" w:themeColor="text1"/>
          <w:lang w:val="en-US"/>
        </w:rPr>
        <w:t xml:space="preserve">options </w:t>
      </w:r>
      <w:r w:rsidR="00B07285">
        <w:rPr>
          <w:rFonts w:cs="Arial"/>
          <w:color w:val="000000" w:themeColor="text1"/>
          <w:lang w:val="en-US"/>
        </w:rPr>
        <w:t>short code</w:t>
      </w:r>
      <w:r w:rsidR="00C87D22">
        <w:rPr>
          <w:rFonts w:cs="Arial"/>
          <w:color w:val="000000" w:themeColor="text1"/>
          <w:lang w:val="en-US"/>
        </w:rPr>
        <w:t>.</w:t>
      </w:r>
    </w:p>
    <w:p w14:paraId="25D9F0E1" w14:textId="529C1635" w:rsidR="00C87D22" w:rsidRPr="00DE4F2B" w:rsidRDefault="00F7063F" w:rsidP="00DE4F2B">
      <w:pPr>
        <w:rPr>
          <w:rFonts w:cs="Arial"/>
          <w:i/>
          <w:color w:val="000000" w:themeColor="text1"/>
          <w:lang w:val="en-US"/>
        </w:rPr>
      </w:pPr>
      <w:r w:rsidRPr="00DE4F2B">
        <w:rPr>
          <w:rFonts w:cs="Arial"/>
          <w:i/>
          <w:color w:val="000000" w:themeColor="text1"/>
          <w:lang w:val="en-US"/>
        </w:rPr>
        <w:t>For example</w:t>
      </w:r>
      <w:r w:rsidR="00C87D22" w:rsidRPr="00DE4F2B">
        <w:rPr>
          <w:rFonts w:cs="Arial"/>
          <w:i/>
          <w:color w:val="000000" w:themeColor="text1"/>
          <w:lang w:val="en-US"/>
        </w:rPr>
        <w:t>:</w:t>
      </w: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3686"/>
      </w:tblGrid>
      <w:tr w:rsidR="00F7063F" w:rsidRPr="002269BF" w14:paraId="652717CE" w14:textId="77777777" w:rsidTr="002750FD">
        <w:tc>
          <w:tcPr>
            <w:tcW w:w="2409" w:type="dxa"/>
          </w:tcPr>
          <w:p w14:paraId="4288D2BA" w14:textId="77777777" w:rsidR="00F7063F" w:rsidRPr="002269BF" w:rsidRDefault="00F7063F" w:rsidP="002750FD">
            <w:pPr>
              <w:spacing w:before="60" w:after="60"/>
              <w:jc w:val="center"/>
              <w:rPr>
                <w:rFonts w:cs="Arial"/>
                <w:b/>
                <w:i/>
                <w:color w:val="000000" w:themeColor="text1"/>
              </w:rPr>
            </w:pPr>
            <w:r>
              <w:rPr>
                <w:rFonts w:cs="Arial"/>
                <w:b/>
                <w:i/>
                <w:color w:val="000000" w:themeColor="text1"/>
                <w:lang w:val="en-US"/>
              </w:rPr>
              <w:t>Option</w:t>
            </w:r>
          </w:p>
        </w:tc>
        <w:tc>
          <w:tcPr>
            <w:tcW w:w="2410" w:type="dxa"/>
          </w:tcPr>
          <w:p w14:paraId="1608F2A1" w14:textId="77777777" w:rsidR="00F7063F" w:rsidRPr="002269BF" w:rsidRDefault="00F7063F" w:rsidP="002750FD">
            <w:pPr>
              <w:spacing w:before="60" w:after="60"/>
              <w:jc w:val="center"/>
              <w:rPr>
                <w:rFonts w:cs="Arial"/>
                <w:b/>
                <w:i/>
                <w:color w:val="000000" w:themeColor="text1"/>
              </w:rPr>
            </w:pPr>
            <w:r>
              <w:rPr>
                <w:rFonts w:cs="Arial"/>
                <w:b/>
                <w:i/>
                <w:color w:val="000000" w:themeColor="text1"/>
                <w:lang w:val="en-US"/>
              </w:rPr>
              <w:t>Code</w:t>
            </w:r>
          </w:p>
        </w:tc>
        <w:tc>
          <w:tcPr>
            <w:tcW w:w="3686" w:type="dxa"/>
          </w:tcPr>
          <w:p w14:paraId="7050C1C8" w14:textId="77777777" w:rsidR="00F7063F" w:rsidRPr="002269BF" w:rsidRDefault="00F7063F" w:rsidP="002750FD">
            <w:pPr>
              <w:spacing w:before="60" w:after="60"/>
              <w:jc w:val="center"/>
              <w:rPr>
                <w:rFonts w:cs="Arial"/>
                <w:b/>
                <w:i/>
                <w:color w:val="000000" w:themeColor="text1"/>
              </w:rPr>
            </w:pPr>
            <w:r>
              <w:rPr>
                <w:rFonts w:cs="Arial"/>
                <w:b/>
                <w:i/>
                <w:color w:val="000000" w:themeColor="text1"/>
                <w:lang w:val="en-US"/>
              </w:rPr>
              <w:t>Code meaning</w:t>
            </w:r>
          </w:p>
        </w:tc>
      </w:tr>
      <w:tr w:rsidR="00F7063F" w:rsidRPr="00451928" w14:paraId="682ADB2D" w14:textId="77777777" w:rsidTr="002750FD">
        <w:tc>
          <w:tcPr>
            <w:tcW w:w="2409" w:type="dxa"/>
          </w:tcPr>
          <w:p w14:paraId="27C9274F" w14:textId="347AD55B" w:rsidR="00F7063F" w:rsidRPr="00FC69C3" w:rsidRDefault="00F7063F" w:rsidP="002750FD">
            <w:pPr>
              <w:spacing w:before="60" w:after="60"/>
              <w:jc w:val="center"/>
              <w:rPr>
                <w:rFonts w:cs="Arial"/>
                <w:i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i/>
                <w:color w:val="000000" w:themeColor="text1"/>
                <w:lang w:val="en-US"/>
              </w:rPr>
              <w:t>Weekly</w:t>
            </w:r>
            <w:r w:rsidR="000A3E58">
              <w:rPr>
                <w:rFonts w:cs="Arial"/>
                <w:i/>
                <w:color w:val="000000" w:themeColor="text1"/>
                <w:lang w:val="en-US"/>
              </w:rPr>
              <w:t>s</w:t>
            </w:r>
            <w:proofErr w:type="spellEnd"/>
          </w:p>
        </w:tc>
        <w:tc>
          <w:tcPr>
            <w:tcW w:w="2410" w:type="dxa"/>
          </w:tcPr>
          <w:p w14:paraId="6AF5C3A2" w14:textId="77777777" w:rsidR="00F7063F" w:rsidRPr="002269BF" w:rsidRDefault="00F7063F" w:rsidP="002750FD">
            <w:pPr>
              <w:spacing w:before="60" w:after="60"/>
              <w:jc w:val="center"/>
              <w:rPr>
                <w:rFonts w:cs="Arial"/>
                <w:i/>
                <w:color w:val="000000" w:themeColor="text1"/>
                <w:lang w:val="en-US"/>
              </w:rPr>
            </w:pPr>
            <w:r w:rsidRPr="002269BF">
              <w:rPr>
                <w:rFonts w:cs="Arial"/>
                <w:i/>
                <w:color w:val="000000" w:themeColor="text1"/>
                <w:lang w:val="en-US"/>
              </w:rPr>
              <w:t>RI1</w:t>
            </w:r>
            <w:r w:rsidRPr="002269BF">
              <w:rPr>
                <w:rFonts w:cs="Arial"/>
                <w:i/>
                <w:color w:val="000000" w:themeColor="text1"/>
              </w:rPr>
              <w:t>2</w:t>
            </w:r>
            <w:r w:rsidRPr="002269BF">
              <w:rPr>
                <w:rFonts w:cs="Arial"/>
                <w:i/>
                <w:color w:val="000000" w:themeColor="text1"/>
                <w:lang w:val="en-US"/>
              </w:rPr>
              <w:t>5</w:t>
            </w:r>
            <w:r w:rsidRPr="002269BF">
              <w:rPr>
                <w:rFonts w:cs="Arial"/>
                <w:i/>
                <w:color w:val="000000" w:themeColor="text1"/>
              </w:rPr>
              <w:t>000</w:t>
            </w:r>
            <w:r w:rsidRPr="002269BF">
              <w:rPr>
                <w:rFonts w:cs="Arial"/>
                <w:i/>
                <w:color w:val="000000" w:themeColor="text1"/>
                <w:lang w:val="en-US"/>
              </w:rPr>
              <w:t>BK</w:t>
            </w:r>
            <w:r w:rsidRPr="002269BF">
              <w:rPr>
                <w:rFonts w:cs="Arial"/>
                <w:i/>
                <w:color w:val="000000" w:themeColor="text1"/>
              </w:rPr>
              <w:t>4</w:t>
            </w:r>
            <w:r w:rsidRPr="00F67CDB">
              <w:rPr>
                <w:rFonts w:cs="Arial"/>
                <w:i/>
                <w:color w:val="000000" w:themeColor="text1"/>
                <w:highlight w:val="yellow"/>
                <w:lang w:val="en-US"/>
              </w:rPr>
              <w:t>D</w:t>
            </w:r>
          </w:p>
        </w:tc>
        <w:tc>
          <w:tcPr>
            <w:tcW w:w="3686" w:type="dxa"/>
          </w:tcPr>
          <w:p w14:paraId="715F180F" w14:textId="15026630" w:rsidR="00F7063F" w:rsidRPr="00FC69C3" w:rsidRDefault="007B5968" w:rsidP="008D4E76">
            <w:pPr>
              <w:spacing w:before="60" w:after="60"/>
              <w:rPr>
                <w:rFonts w:cs="Arial"/>
                <w:i/>
                <w:color w:val="000000" w:themeColor="text1"/>
                <w:lang w:val="en-US"/>
              </w:rPr>
            </w:pPr>
            <w:r>
              <w:rPr>
                <w:rFonts w:cs="Arial"/>
                <w:i/>
                <w:color w:val="000000" w:themeColor="text1"/>
                <w:lang w:val="en-US"/>
              </w:rPr>
              <w:t>F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>utures</w:t>
            </w:r>
            <w:r w:rsidR="00F7063F" w:rsidRPr="00FC69C3">
              <w:rPr>
                <w:rFonts w:cs="Arial"/>
                <w:i/>
                <w:color w:val="000000" w:themeColor="text1"/>
                <w:lang w:val="en-US"/>
              </w:rPr>
              <w:t>-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>style</w:t>
            </w:r>
            <w:r w:rsidR="00F7063F" w:rsidRPr="00FC69C3">
              <w:rPr>
                <w:rFonts w:cs="Arial"/>
                <w:i/>
                <w:color w:val="000000" w:themeColor="text1"/>
                <w:lang w:val="en-US"/>
              </w:rPr>
              <w:t xml:space="preserve"> </w:t>
            </w:r>
            <w:r w:rsidR="00DF0FEC">
              <w:rPr>
                <w:rFonts w:cs="Arial"/>
                <w:i/>
                <w:color w:val="000000" w:themeColor="text1"/>
                <w:lang w:val="en-US"/>
              </w:rPr>
              <w:t xml:space="preserve">RTS </w:t>
            </w:r>
            <w:proofErr w:type="spellStart"/>
            <w:r w:rsidR="00B5654A">
              <w:rPr>
                <w:rFonts w:cs="Arial"/>
                <w:i/>
                <w:color w:val="000000" w:themeColor="text1"/>
                <w:lang w:val="en-US"/>
              </w:rPr>
              <w:t>W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>eekly</w:t>
            </w:r>
            <w:r w:rsidR="00B5654A">
              <w:rPr>
                <w:rFonts w:cs="Arial"/>
                <w:i/>
                <w:color w:val="000000" w:themeColor="text1"/>
                <w:lang w:val="en-US"/>
              </w:rPr>
              <w:t>s</w:t>
            </w:r>
            <w:proofErr w:type="spellEnd"/>
            <w:r w:rsidR="00F7063F" w:rsidRPr="00FC69C3">
              <w:rPr>
                <w:rFonts w:cs="Arial"/>
                <w:i/>
                <w:color w:val="000000" w:themeColor="text1"/>
                <w:lang w:val="en-US"/>
              </w:rPr>
              <w:t xml:space="preserve"> 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>call</w:t>
            </w:r>
            <w:r>
              <w:rPr>
                <w:rFonts w:cs="Arial"/>
                <w:i/>
                <w:color w:val="000000" w:themeColor="text1"/>
                <w:lang w:val="en-US"/>
              </w:rPr>
              <w:t>s that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 xml:space="preserve"> expir</w:t>
            </w:r>
            <w:r>
              <w:rPr>
                <w:rFonts w:cs="Arial"/>
                <w:i/>
                <w:color w:val="000000" w:themeColor="text1"/>
                <w:lang w:val="en-US"/>
              </w:rPr>
              <w:t>ed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 xml:space="preserve"> on November </w:t>
            </w:r>
            <w:r w:rsidR="00B5654A">
              <w:rPr>
                <w:rFonts w:cs="Arial"/>
                <w:i/>
                <w:color w:val="000000" w:themeColor="text1"/>
                <w:lang w:val="en-US"/>
              </w:rPr>
              <w:t xml:space="preserve">27, </w:t>
            </w:r>
            <w:r w:rsidR="00F7063F" w:rsidRPr="00FC69C3">
              <w:rPr>
                <w:rFonts w:cs="Arial"/>
                <w:i/>
                <w:color w:val="000000" w:themeColor="text1"/>
                <w:lang w:val="en-US"/>
              </w:rPr>
              <w:t>2014.</w:t>
            </w:r>
          </w:p>
        </w:tc>
      </w:tr>
      <w:tr w:rsidR="00F7063F" w:rsidRPr="00451928" w14:paraId="11F94F06" w14:textId="77777777" w:rsidTr="002750FD">
        <w:tc>
          <w:tcPr>
            <w:tcW w:w="2409" w:type="dxa"/>
          </w:tcPr>
          <w:p w14:paraId="4F27448F" w14:textId="6757E4A4" w:rsidR="00F7063F" w:rsidRPr="00FC69C3" w:rsidRDefault="00F7063F" w:rsidP="002750FD">
            <w:pPr>
              <w:spacing w:before="60" w:after="60"/>
              <w:jc w:val="center"/>
              <w:rPr>
                <w:rFonts w:cs="Arial"/>
                <w:i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i/>
                <w:color w:val="000000" w:themeColor="text1"/>
                <w:lang w:val="en-US"/>
              </w:rPr>
              <w:t>Monthly</w:t>
            </w:r>
            <w:r w:rsidR="000A3E58">
              <w:rPr>
                <w:rFonts w:cs="Arial"/>
                <w:i/>
                <w:color w:val="000000" w:themeColor="text1"/>
                <w:lang w:val="en-US"/>
              </w:rPr>
              <w:t>s</w:t>
            </w:r>
            <w:proofErr w:type="spellEnd"/>
            <w:r>
              <w:rPr>
                <w:rFonts w:cs="Arial"/>
                <w:i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307DFB6A" w14:textId="77777777" w:rsidR="00F7063F" w:rsidRPr="002269BF" w:rsidRDefault="00F7063F" w:rsidP="002750FD">
            <w:pPr>
              <w:spacing w:before="60" w:after="60"/>
              <w:jc w:val="center"/>
              <w:rPr>
                <w:rFonts w:cs="Arial"/>
                <w:i/>
                <w:color w:val="000000" w:themeColor="text1"/>
                <w:lang w:val="en-US"/>
              </w:rPr>
            </w:pPr>
            <w:r w:rsidRPr="002269BF">
              <w:rPr>
                <w:rFonts w:cs="Arial"/>
                <w:i/>
                <w:color w:val="000000" w:themeColor="text1"/>
                <w:lang w:val="en-US"/>
              </w:rPr>
              <w:t>RI1</w:t>
            </w:r>
            <w:r w:rsidRPr="00FC69C3">
              <w:rPr>
                <w:rFonts w:cs="Arial"/>
                <w:i/>
                <w:color w:val="000000" w:themeColor="text1"/>
                <w:lang w:val="en-US"/>
              </w:rPr>
              <w:t>2</w:t>
            </w:r>
            <w:r w:rsidRPr="002269BF">
              <w:rPr>
                <w:rFonts w:cs="Arial"/>
                <w:i/>
                <w:color w:val="000000" w:themeColor="text1"/>
                <w:lang w:val="en-US"/>
              </w:rPr>
              <w:t>5</w:t>
            </w:r>
            <w:r w:rsidRPr="00FC69C3">
              <w:rPr>
                <w:rFonts w:cs="Arial"/>
                <w:i/>
                <w:color w:val="000000" w:themeColor="text1"/>
                <w:lang w:val="en-US"/>
              </w:rPr>
              <w:t>000</w:t>
            </w:r>
            <w:r w:rsidRPr="002269BF">
              <w:rPr>
                <w:rFonts w:cs="Arial"/>
                <w:i/>
                <w:color w:val="000000" w:themeColor="text1"/>
                <w:lang w:val="en-US"/>
              </w:rPr>
              <w:t>BK</w:t>
            </w:r>
            <w:r w:rsidRPr="00FC69C3">
              <w:rPr>
                <w:rFonts w:cs="Arial"/>
                <w:i/>
                <w:color w:val="000000" w:themeColor="text1"/>
                <w:lang w:val="en-US"/>
              </w:rPr>
              <w:t>4</w:t>
            </w:r>
          </w:p>
        </w:tc>
        <w:tc>
          <w:tcPr>
            <w:tcW w:w="3686" w:type="dxa"/>
          </w:tcPr>
          <w:p w14:paraId="6C22E6B3" w14:textId="14073184" w:rsidR="00F7063F" w:rsidRPr="00FC69C3" w:rsidRDefault="007B5968" w:rsidP="008D4E76">
            <w:pPr>
              <w:spacing w:before="60" w:after="60"/>
              <w:rPr>
                <w:rFonts w:cs="Arial"/>
                <w:i/>
                <w:color w:val="000000" w:themeColor="text1"/>
                <w:lang w:val="en-US"/>
              </w:rPr>
            </w:pPr>
            <w:r>
              <w:rPr>
                <w:rFonts w:cs="Arial"/>
                <w:i/>
                <w:color w:val="000000" w:themeColor="text1"/>
                <w:lang w:val="en-US"/>
              </w:rPr>
              <w:t>F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>utures</w:t>
            </w:r>
            <w:r w:rsidR="00F7063F" w:rsidRPr="00FC69C3">
              <w:rPr>
                <w:rFonts w:cs="Arial"/>
                <w:i/>
                <w:color w:val="000000" w:themeColor="text1"/>
                <w:lang w:val="en-US"/>
              </w:rPr>
              <w:t>-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>style</w:t>
            </w:r>
            <w:r w:rsidR="00F7063F" w:rsidRPr="00FC69C3">
              <w:rPr>
                <w:rFonts w:cs="Arial"/>
                <w:i/>
                <w:color w:val="000000" w:themeColor="text1"/>
                <w:lang w:val="en-US"/>
              </w:rPr>
              <w:t xml:space="preserve"> </w:t>
            </w:r>
            <w:r w:rsidR="00DF0FEC">
              <w:rPr>
                <w:rFonts w:cs="Arial"/>
                <w:i/>
                <w:color w:val="000000" w:themeColor="text1"/>
                <w:lang w:val="en-US"/>
              </w:rPr>
              <w:t xml:space="preserve">RTS </w:t>
            </w:r>
            <w:proofErr w:type="spellStart"/>
            <w:r w:rsidR="00462840">
              <w:rPr>
                <w:rFonts w:cs="Arial"/>
                <w:i/>
                <w:color w:val="000000" w:themeColor="text1"/>
                <w:lang w:val="en-US"/>
              </w:rPr>
              <w:t>Monthlys</w:t>
            </w:r>
            <w:proofErr w:type="spellEnd"/>
            <w:r w:rsidR="00462840">
              <w:rPr>
                <w:rFonts w:cs="Arial"/>
                <w:i/>
                <w:color w:val="000000" w:themeColor="text1"/>
                <w:lang w:val="en-US"/>
              </w:rPr>
              <w:t xml:space="preserve"> 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>call</w:t>
            </w:r>
            <w:r>
              <w:rPr>
                <w:rFonts w:cs="Arial"/>
                <w:i/>
                <w:color w:val="000000" w:themeColor="text1"/>
                <w:lang w:val="en-US"/>
              </w:rPr>
              <w:t>s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 xml:space="preserve"> </w:t>
            </w:r>
            <w:r>
              <w:rPr>
                <w:rFonts w:cs="Arial"/>
                <w:i/>
                <w:color w:val="000000" w:themeColor="text1"/>
                <w:lang w:val="en-US"/>
              </w:rPr>
              <w:t>that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 xml:space="preserve"> expir</w:t>
            </w:r>
            <w:r>
              <w:rPr>
                <w:rFonts w:cs="Arial"/>
                <w:i/>
                <w:color w:val="000000" w:themeColor="text1"/>
                <w:lang w:val="en-US"/>
              </w:rPr>
              <w:t>ed</w:t>
            </w:r>
            <w:r w:rsidR="00F7063F">
              <w:rPr>
                <w:rFonts w:cs="Arial"/>
                <w:i/>
                <w:color w:val="000000" w:themeColor="text1"/>
                <w:lang w:val="en-US"/>
              </w:rPr>
              <w:t xml:space="preserve"> on November </w:t>
            </w:r>
            <w:r w:rsidR="00B5654A">
              <w:rPr>
                <w:rFonts w:cs="Arial"/>
                <w:i/>
                <w:color w:val="000000" w:themeColor="text1"/>
                <w:lang w:val="en-US"/>
              </w:rPr>
              <w:t xml:space="preserve">17, </w:t>
            </w:r>
            <w:r w:rsidR="00F7063F" w:rsidRPr="00FC69C3">
              <w:rPr>
                <w:rFonts w:cs="Arial"/>
                <w:i/>
                <w:color w:val="000000" w:themeColor="text1"/>
                <w:lang w:val="en-US"/>
              </w:rPr>
              <w:t>2014.</w:t>
            </w:r>
          </w:p>
        </w:tc>
      </w:tr>
    </w:tbl>
    <w:p w14:paraId="2581B09F" w14:textId="730351B8" w:rsidR="00F7063F" w:rsidRPr="00DE4F2B" w:rsidRDefault="00F7063F" w:rsidP="00DE4F2B">
      <w:pPr>
        <w:spacing w:before="120" w:after="0" w:line="240" w:lineRule="auto"/>
        <w:jc w:val="both"/>
        <w:rPr>
          <w:rFonts w:cs="Arial"/>
          <w:i/>
          <w:color w:val="000000" w:themeColor="text1"/>
          <w:lang w:val="en-US"/>
        </w:rPr>
      </w:pPr>
      <w:proofErr w:type="gramStart"/>
      <w:r w:rsidRPr="00DE4F2B">
        <w:rPr>
          <w:rFonts w:cs="Arial"/>
          <w:i/>
          <w:color w:val="000000" w:themeColor="text1"/>
          <w:lang w:val="en-US"/>
        </w:rPr>
        <w:t>where</w:t>
      </w:r>
      <w:proofErr w:type="gramEnd"/>
      <w:r w:rsidRPr="00DE4F2B">
        <w:rPr>
          <w:rFonts w:cs="Arial"/>
          <w:i/>
          <w:color w:val="000000" w:themeColor="text1"/>
          <w:lang w:val="en-US"/>
        </w:rPr>
        <w:t>:</w:t>
      </w:r>
    </w:p>
    <w:p w14:paraId="34FA9C44" w14:textId="017BD3A6" w:rsidR="00C87D22" w:rsidRPr="00FC69C3" w:rsidRDefault="00F7063F" w:rsidP="00DE4F2B">
      <w:pPr>
        <w:tabs>
          <w:tab w:val="left" w:pos="1560"/>
          <w:tab w:val="left" w:pos="1985"/>
        </w:tabs>
        <w:spacing w:before="120" w:after="0" w:line="240" w:lineRule="auto"/>
        <w:ind w:left="567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“RI”</w:t>
      </w:r>
      <w:r w:rsidR="00C87D22" w:rsidRPr="00FC69C3">
        <w:rPr>
          <w:rFonts w:cs="Arial"/>
          <w:color w:val="000000" w:themeColor="text1"/>
          <w:lang w:val="en-US"/>
        </w:rPr>
        <w:t xml:space="preserve"> </w:t>
      </w:r>
      <w:r w:rsidR="003C5682">
        <w:rPr>
          <w:rFonts w:cs="Arial"/>
          <w:color w:val="000000" w:themeColor="text1"/>
          <w:lang w:val="en-US"/>
        </w:rPr>
        <w:tab/>
      </w:r>
      <w:r w:rsidR="00C87D22" w:rsidRPr="00FC69C3">
        <w:rPr>
          <w:rFonts w:cs="Arial"/>
          <w:color w:val="000000" w:themeColor="text1"/>
          <w:lang w:val="en-US"/>
        </w:rPr>
        <w:t>–</w:t>
      </w:r>
      <w:r w:rsidR="003C5682">
        <w:rPr>
          <w:rFonts w:cs="Arial"/>
          <w:color w:val="000000" w:themeColor="text1"/>
          <w:lang w:val="en-US"/>
        </w:rPr>
        <w:tab/>
      </w:r>
      <w:r w:rsidR="00C87D22">
        <w:rPr>
          <w:rFonts w:cs="Arial"/>
          <w:color w:val="000000" w:themeColor="text1"/>
          <w:lang w:val="en-US"/>
        </w:rPr>
        <w:t xml:space="preserve">the underlying </w:t>
      </w:r>
      <w:r w:rsidR="00541BF9">
        <w:rPr>
          <w:rFonts w:cs="Arial"/>
          <w:color w:val="000000" w:themeColor="text1"/>
          <w:lang w:val="en-US"/>
        </w:rPr>
        <w:t xml:space="preserve">symbol </w:t>
      </w:r>
      <w:r w:rsidR="00CF6BF5">
        <w:rPr>
          <w:rFonts w:cs="Arial"/>
          <w:color w:val="000000" w:themeColor="text1"/>
          <w:lang w:val="en-US"/>
        </w:rPr>
        <w:t>(</w:t>
      </w:r>
      <w:r w:rsidR="00C87D22">
        <w:rPr>
          <w:rFonts w:cs="Arial"/>
          <w:color w:val="000000" w:themeColor="text1"/>
          <w:lang w:val="en-US"/>
        </w:rPr>
        <w:t>two</w:t>
      </w:r>
      <w:r w:rsidR="00C87D22" w:rsidRPr="00FC69C3">
        <w:rPr>
          <w:rFonts w:cs="Arial"/>
          <w:color w:val="000000" w:themeColor="text1"/>
          <w:lang w:val="en-US"/>
        </w:rPr>
        <w:t xml:space="preserve"> </w:t>
      </w:r>
      <w:r w:rsidR="00C87D22">
        <w:rPr>
          <w:rFonts w:cs="Arial"/>
          <w:color w:val="000000" w:themeColor="text1"/>
          <w:lang w:val="en-US"/>
        </w:rPr>
        <w:t>characters</w:t>
      </w:r>
      <w:r w:rsidR="00CF6BF5">
        <w:rPr>
          <w:rFonts w:cs="Arial"/>
          <w:color w:val="000000" w:themeColor="text1"/>
          <w:lang w:val="en-US"/>
        </w:rPr>
        <w:t>)</w:t>
      </w:r>
      <w:r w:rsidR="00C87D22" w:rsidRPr="00FC69C3">
        <w:rPr>
          <w:rFonts w:cs="Arial"/>
          <w:color w:val="000000" w:themeColor="text1"/>
          <w:lang w:val="en-US"/>
        </w:rPr>
        <w:t>;</w:t>
      </w:r>
    </w:p>
    <w:p w14:paraId="0D499CD8" w14:textId="0FF997EC" w:rsidR="00C87D22" w:rsidRPr="00FC69C3" w:rsidRDefault="00F7063F" w:rsidP="00DE4F2B">
      <w:pPr>
        <w:tabs>
          <w:tab w:val="left" w:pos="1560"/>
          <w:tab w:val="left" w:pos="1985"/>
        </w:tabs>
        <w:spacing w:before="120" w:after="0" w:line="240" w:lineRule="auto"/>
        <w:ind w:left="567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“125000”</w:t>
      </w:r>
      <w:r w:rsidRPr="00FC69C3">
        <w:rPr>
          <w:rFonts w:cs="Arial"/>
          <w:color w:val="000000" w:themeColor="text1"/>
          <w:lang w:val="en-US"/>
        </w:rPr>
        <w:t xml:space="preserve"> </w:t>
      </w:r>
      <w:r w:rsidR="003C5682">
        <w:rPr>
          <w:rFonts w:cs="Arial"/>
          <w:color w:val="000000" w:themeColor="text1"/>
          <w:lang w:val="en-US"/>
        </w:rPr>
        <w:tab/>
      </w:r>
      <w:r w:rsidR="00C87D22" w:rsidRPr="00FC69C3">
        <w:rPr>
          <w:rFonts w:cs="Arial"/>
          <w:color w:val="000000" w:themeColor="text1"/>
          <w:lang w:val="en-US"/>
        </w:rPr>
        <w:t xml:space="preserve">– </w:t>
      </w:r>
      <w:r w:rsidR="00CF6BF5">
        <w:rPr>
          <w:rFonts w:cs="Arial"/>
          <w:color w:val="000000" w:themeColor="text1"/>
          <w:lang w:val="en-US"/>
        </w:rPr>
        <w:tab/>
      </w:r>
      <w:r w:rsidR="00C87D22">
        <w:rPr>
          <w:rFonts w:cs="Arial"/>
          <w:color w:val="000000" w:themeColor="text1"/>
          <w:lang w:val="en-US"/>
        </w:rPr>
        <w:t>the</w:t>
      </w:r>
      <w:r w:rsidR="00CF6BF5">
        <w:rPr>
          <w:rFonts w:cs="Arial"/>
          <w:color w:val="000000" w:themeColor="text1"/>
          <w:lang w:val="en-US"/>
        </w:rPr>
        <w:t xml:space="preserve"> </w:t>
      </w:r>
      <w:r w:rsidR="00C87D22">
        <w:rPr>
          <w:rFonts w:cs="Arial"/>
          <w:color w:val="000000" w:themeColor="text1"/>
          <w:lang w:val="en-US"/>
        </w:rPr>
        <w:t>strike price</w:t>
      </w:r>
      <w:r w:rsidR="00C87D22" w:rsidRPr="00FC69C3">
        <w:rPr>
          <w:rFonts w:cs="Arial"/>
          <w:color w:val="000000" w:themeColor="text1"/>
          <w:lang w:val="en-US"/>
        </w:rPr>
        <w:t xml:space="preserve"> </w:t>
      </w:r>
      <w:r w:rsidR="00CF6BF5">
        <w:rPr>
          <w:rFonts w:cs="Arial"/>
          <w:color w:val="000000" w:themeColor="text1"/>
          <w:lang w:val="en-US"/>
        </w:rPr>
        <w:t>(</w:t>
      </w:r>
      <w:r w:rsidR="00C87D22">
        <w:rPr>
          <w:rFonts w:cs="Arial"/>
          <w:color w:val="000000" w:themeColor="text1"/>
          <w:lang w:val="en-US"/>
        </w:rPr>
        <w:t xml:space="preserve">variable number of </w:t>
      </w:r>
      <w:r w:rsidR="00363591">
        <w:rPr>
          <w:rFonts w:cs="Arial"/>
          <w:color w:val="000000" w:themeColor="text1"/>
          <w:lang w:val="en-US"/>
        </w:rPr>
        <w:t>integers</w:t>
      </w:r>
      <w:r w:rsidR="00CF6BF5">
        <w:rPr>
          <w:rFonts w:cs="Arial"/>
          <w:color w:val="000000" w:themeColor="text1"/>
          <w:lang w:val="en-US"/>
        </w:rPr>
        <w:t>)</w:t>
      </w:r>
      <w:r w:rsidR="00C87D22" w:rsidRPr="00FC69C3">
        <w:rPr>
          <w:rFonts w:cs="Arial"/>
          <w:color w:val="000000" w:themeColor="text1"/>
          <w:lang w:val="en-US"/>
        </w:rPr>
        <w:t>;</w:t>
      </w:r>
    </w:p>
    <w:p w14:paraId="5C12D086" w14:textId="2ABA271A" w:rsidR="00C87D22" w:rsidRPr="00FC69C3" w:rsidRDefault="00F7063F" w:rsidP="00DE4F2B">
      <w:pPr>
        <w:tabs>
          <w:tab w:val="left" w:pos="1560"/>
          <w:tab w:val="left" w:pos="1985"/>
        </w:tabs>
        <w:spacing w:before="120" w:after="0" w:line="240" w:lineRule="auto"/>
        <w:ind w:left="567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“B”</w:t>
      </w:r>
      <w:r w:rsidR="00C87D22" w:rsidRPr="00FC69C3">
        <w:rPr>
          <w:rFonts w:cs="Arial"/>
          <w:color w:val="000000" w:themeColor="text1"/>
          <w:lang w:val="en-US"/>
        </w:rPr>
        <w:t xml:space="preserve"> </w:t>
      </w:r>
      <w:r w:rsidR="003C5682">
        <w:rPr>
          <w:rFonts w:cs="Arial"/>
          <w:color w:val="000000" w:themeColor="text1"/>
          <w:lang w:val="en-US"/>
        </w:rPr>
        <w:tab/>
      </w:r>
      <w:r w:rsidR="00C87D22" w:rsidRPr="00FC69C3">
        <w:rPr>
          <w:rFonts w:cs="Arial"/>
          <w:color w:val="000000" w:themeColor="text1"/>
          <w:lang w:val="en-US"/>
        </w:rPr>
        <w:t xml:space="preserve">– </w:t>
      </w:r>
      <w:r w:rsidR="003C5682">
        <w:rPr>
          <w:rFonts w:cs="Arial"/>
          <w:color w:val="000000" w:themeColor="text1"/>
          <w:lang w:val="en-US"/>
        </w:rPr>
        <w:tab/>
      </w:r>
      <w:r w:rsidR="00C87D22">
        <w:rPr>
          <w:rFonts w:cs="Arial"/>
          <w:color w:val="000000" w:themeColor="text1"/>
          <w:lang w:val="en-US"/>
        </w:rPr>
        <w:t>settlement type</w:t>
      </w:r>
      <w:r w:rsidR="00C87D22" w:rsidRPr="00FC69C3">
        <w:rPr>
          <w:rFonts w:cs="Arial"/>
          <w:color w:val="000000" w:themeColor="text1"/>
          <w:lang w:val="en-US"/>
        </w:rPr>
        <w:t xml:space="preserve"> (</w:t>
      </w:r>
      <w:r w:rsidR="00C87D22" w:rsidRPr="002269BF">
        <w:rPr>
          <w:rFonts w:cs="Arial"/>
          <w:color w:val="000000" w:themeColor="text1"/>
          <w:lang w:val="en-US"/>
        </w:rPr>
        <w:t>A</w:t>
      </w:r>
      <w:r w:rsidR="00CF6BF5">
        <w:rPr>
          <w:rFonts w:cs="Arial"/>
          <w:color w:val="000000" w:themeColor="text1"/>
          <w:lang w:val="en-US"/>
        </w:rPr>
        <w:t xml:space="preserve"> –</w:t>
      </w:r>
      <w:r w:rsidR="00C87D22">
        <w:rPr>
          <w:rFonts w:cs="Arial"/>
          <w:color w:val="000000" w:themeColor="text1"/>
          <w:lang w:val="en-US"/>
        </w:rPr>
        <w:t xml:space="preserve"> </w:t>
      </w:r>
      <w:r w:rsidR="00514206">
        <w:rPr>
          <w:rFonts w:cs="Arial"/>
          <w:color w:val="000000" w:themeColor="text1"/>
          <w:lang w:val="en-US"/>
        </w:rPr>
        <w:t>equity style</w:t>
      </w:r>
      <w:r w:rsidR="00091A03">
        <w:rPr>
          <w:rFonts w:cs="Arial"/>
          <w:color w:val="000000" w:themeColor="text1"/>
          <w:lang w:val="en-US"/>
        </w:rPr>
        <w:t xml:space="preserve">, </w:t>
      </w:r>
      <w:r w:rsidR="00091A03" w:rsidRPr="002269BF">
        <w:rPr>
          <w:rFonts w:cs="Arial"/>
          <w:color w:val="000000" w:themeColor="text1"/>
          <w:lang w:val="en-US"/>
        </w:rPr>
        <w:t>B</w:t>
      </w:r>
      <w:r w:rsidR="00091A03">
        <w:rPr>
          <w:rFonts w:cs="Arial"/>
          <w:color w:val="000000" w:themeColor="text1"/>
          <w:lang w:val="en-US"/>
        </w:rPr>
        <w:t xml:space="preserve"> –</w:t>
      </w:r>
      <w:r w:rsidR="00514206">
        <w:rPr>
          <w:rFonts w:cs="Arial"/>
          <w:color w:val="000000" w:themeColor="text1"/>
          <w:lang w:val="en-US"/>
        </w:rPr>
        <w:t xml:space="preserve"> futures </w:t>
      </w:r>
      <w:r w:rsidR="00091A03">
        <w:rPr>
          <w:rFonts w:cs="Arial"/>
          <w:color w:val="000000" w:themeColor="text1"/>
          <w:lang w:val="en-US"/>
        </w:rPr>
        <w:t>style</w:t>
      </w:r>
      <w:r w:rsidR="00C87D22" w:rsidRPr="00FC69C3">
        <w:rPr>
          <w:rFonts w:cs="Arial"/>
          <w:color w:val="000000" w:themeColor="text1"/>
          <w:lang w:val="en-US"/>
        </w:rPr>
        <w:t>);</w:t>
      </w:r>
    </w:p>
    <w:p w14:paraId="58D69E83" w14:textId="67E65003" w:rsidR="00C87D22" w:rsidRPr="00FC69C3" w:rsidRDefault="00F7063F" w:rsidP="00DE4F2B">
      <w:pPr>
        <w:tabs>
          <w:tab w:val="left" w:pos="1560"/>
          <w:tab w:val="left" w:pos="1985"/>
        </w:tabs>
        <w:spacing w:before="120" w:after="0" w:line="240" w:lineRule="auto"/>
        <w:ind w:left="1985" w:hanging="1418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“K”</w:t>
      </w:r>
      <w:r w:rsidR="00C87D22" w:rsidRPr="00FC69C3">
        <w:rPr>
          <w:rFonts w:cs="Arial"/>
          <w:color w:val="000000" w:themeColor="text1"/>
          <w:lang w:val="en-US"/>
        </w:rPr>
        <w:t xml:space="preserve"> </w:t>
      </w:r>
      <w:r w:rsidR="003C5682">
        <w:rPr>
          <w:rFonts w:cs="Arial"/>
          <w:color w:val="000000" w:themeColor="text1"/>
          <w:lang w:val="en-US"/>
        </w:rPr>
        <w:tab/>
      </w:r>
      <w:r w:rsidR="00C87D22" w:rsidRPr="00FC69C3">
        <w:rPr>
          <w:rFonts w:cs="Arial"/>
          <w:color w:val="000000" w:themeColor="text1"/>
          <w:lang w:val="en-US"/>
        </w:rPr>
        <w:t>–</w:t>
      </w:r>
      <w:r w:rsidR="000A3E58">
        <w:rPr>
          <w:rFonts w:cs="Arial"/>
          <w:color w:val="000000" w:themeColor="text1"/>
          <w:lang w:val="en-US"/>
        </w:rPr>
        <w:t xml:space="preserve"> </w:t>
      </w:r>
      <w:r w:rsidR="003C5682">
        <w:rPr>
          <w:rFonts w:cs="Arial"/>
          <w:color w:val="000000" w:themeColor="text1"/>
          <w:lang w:val="en-US"/>
        </w:rPr>
        <w:tab/>
      </w:r>
      <w:r w:rsidR="00C87D22">
        <w:rPr>
          <w:rFonts w:cs="Arial"/>
          <w:color w:val="000000" w:themeColor="text1"/>
          <w:lang w:val="en-US"/>
        </w:rPr>
        <w:t>month and type of option</w:t>
      </w:r>
      <w:r w:rsidR="00C87D22" w:rsidRPr="00FC69C3">
        <w:rPr>
          <w:rFonts w:cs="Arial"/>
          <w:color w:val="000000" w:themeColor="text1"/>
          <w:lang w:val="en-US"/>
        </w:rPr>
        <w:t xml:space="preserve"> </w:t>
      </w:r>
      <w:r w:rsidR="009A2576">
        <w:rPr>
          <w:rFonts w:cs="Arial"/>
          <w:color w:val="000000" w:themeColor="text1"/>
          <w:lang w:val="en-US"/>
        </w:rPr>
        <w:t>(</w:t>
      </w:r>
      <w:r w:rsidR="009A66A3">
        <w:rPr>
          <w:rFonts w:cs="Arial"/>
          <w:color w:val="000000" w:themeColor="text1"/>
          <w:lang w:val="en-US"/>
        </w:rPr>
        <w:t>see “</w:t>
      </w:r>
      <w:r w:rsidR="00E6651F">
        <w:rPr>
          <w:rFonts w:cs="Arial"/>
          <w:color w:val="000000" w:themeColor="text1"/>
          <w:lang w:val="en-US"/>
        </w:rPr>
        <w:t xml:space="preserve">options </w:t>
      </w:r>
      <w:r w:rsidR="009A66A3">
        <w:rPr>
          <w:rFonts w:cs="Arial"/>
          <w:color w:val="000000" w:themeColor="text1"/>
          <w:lang w:val="en-US"/>
        </w:rPr>
        <w:t>expiration codes” table below</w:t>
      </w:r>
      <w:r w:rsidR="00982382">
        <w:rPr>
          <w:rFonts w:cs="Arial"/>
          <w:color w:val="000000" w:themeColor="text1"/>
          <w:lang w:val="en-US"/>
        </w:rPr>
        <w:t xml:space="preserve"> for a complete list</w:t>
      </w:r>
      <w:r w:rsidR="00F3016E">
        <w:rPr>
          <w:rFonts w:cs="Arial"/>
          <w:color w:val="000000" w:themeColor="text1"/>
          <w:lang w:val="en-US"/>
        </w:rPr>
        <w:t>)</w:t>
      </w:r>
      <w:r w:rsidR="00C87D22" w:rsidRPr="00FC69C3">
        <w:rPr>
          <w:rFonts w:cs="Arial"/>
          <w:color w:val="000000" w:themeColor="text1"/>
          <w:lang w:val="en-US"/>
        </w:rPr>
        <w:t>;</w:t>
      </w:r>
    </w:p>
    <w:p w14:paraId="3C8BEEC4" w14:textId="22A2ACD6" w:rsidR="00C87D22" w:rsidRPr="00FC69C3" w:rsidRDefault="00F7063F" w:rsidP="00DE4F2B">
      <w:pPr>
        <w:tabs>
          <w:tab w:val="left" w:pos="1560"/>
          <w:tab w:val="left" w:pos="1985"/>
        </w:tabs>
        <w:spacing w:before="120" w:after="0" w:line="240" w:lineRule="auto"/>
        <w:ind w:left="567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“4”</w:t>
      </w:r>
      <w:r w:rsidR="00C87D22" w:rsidRPr="00FC69C3">
        <w:rPr>
          <w:rFonts w:cs="Arial"/>
          <w:color w:val="000000" w:themeColor="text1"/>
          <w:lang w:val="en-US"/>
        </w:rPr>
        <w:t xml:space="preserve"> </w:t>
      </w:r>
      <w:r w:rsidR="003C5682">
        <w:rPr>
          <w:rFonts w:cs="Arial"/>
          <w:color w:val="000000" w:themeColor="text1"/>
          <w:lang w:val="en-US"/>
        </w:rPr>
        <w:tab/>
      </w:r>
      <w:r w:rsidR="00C87D22" w:rsidRPr="00FC69C3">
        <w:rPr>
          <w:rFonts w:cs="Arial"/>
          <w:color w:val="000000" w:themeColor="text1"/>
          <w:lang w:val="en-US"/>
        </w:rPr>
        <w:t>–</w:t>
      </w:r>
      <w:r w:rsidR="000A3E58">
        <w:rPr>
          <w:rFonts w:cs="Arial"/>
          <w:color w:val="000000" w:themeColor="text1"/>
          <w:lang w:val="en-US"/>
        </w:rPr>
        <w:t xml:space="preserve"> </w:t>
      </w:r>
      <w:r w:rsidR="003C5682">
        <w:rPr>
          <w:rFonts w:cs="Arial"/>
          <w:color w:val="000000" w:themeColor="text1"/>
          <w:lang w:val="en-US"/>
        </w:rPr>
        <w:tab/>
      </w:r>
      <w:r w:rsidR="00C87D22">
        <w:rPr>
          <w:rFonts w:cs="Arial"/>
          <w:color w:val="000000" w:themeColor="text1"/>
          <w:lang w:val="en-US"/>
        </w:rPr>
        <w:t>expiration year</w:t>
      </w:r>
      <w:r w:rsidR="0088006A">
        <w:rPr>
          <w:rFonts w:cs="Arial"/>
          <w:color w:val="000000" w:themeColor="text1"/>
          <w:lang w:val="en-US"/>
        </w:rPr>
        <w:t xml:space="preserve"> (</w:t>
      </w:r>
      <w:r w:rsidR="00C87D22">
        <w:rPr>
          <w:rFonts w:cs="Arial"/>
          <w:color w:val="000000" w:themeColor="text1"/>
          <w:lang w:val="en-US"/>
        </w:rPr>
        <w:t xml:space="preserve">one </w:t>
      </w:r>
      <w:r w:rsidR="000305C7">
        <w:rPr>
          <w:rFonts w:cs="Arial"/>
          <w:color w:val="000000" w:themeColor="text1"/>
          <w:lang w:val="en-US"/>
        </w:rPr>
        <w:t>integer</w:t>
      </w:r>
      <w:r w:rsidR="0088006A">
        <w:rPr>
          <w:rFonts w:cs="Arial"/>
          <w:color w:val="000000" w:themeColor="text1"/>
          <w:lang w:val="en-US"/>
        </w:rPr>
        <w:t>)</w:t>
      </w:r>
      <w:r w:rsidR="00C87D22" w:rsidRPr="00FC69C3">
        <w:rPr>
          <w:rFonts w:cs="Arial"/>
          <w:color w:val="000000" w:themeColor="text1"/>
          <w:lang w:val="en-US"/>
        </w:rPr>
        <w:t>;</w:t>
      </w:r>
    </w:p>
    <w:p w14:paraId="11B6E754" w14:textId="4364D84D" w:rsidR="000A3E58" w:rsidRDefault="00F7063F" w:rsidP="00DE4F2B">
      <w:pPr>
        <w:tabs>
          <w:tab w:val="left" w:pos="1560"/>
          <w:tab w:val="left" w:pos="1985"/>
        </w:tabs>
        <w:spacing w:before="120" w:after="120" w:line="240" w:lineRule="auto"/>
        <w:ind w:left="1985" w:hanging="1418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“D”</w:t>
      </w:r>
      <w:r w:rsidR="00C87D22" w:rsidRPr="00FC69C3">
        <w:rPr>
          <w:rFonts w:cs="Arial"/>
          <w:color w:val="000000" w:themeColor="text1"/>
          <w:lang w:val="en-US"/>
        </w:rPr>
        <w:t xml:space="preserve"> </w:t>
      </w:r>
      <w:r w:rsidR="003C5682">
        <w:rPr>
          <w:rFonts w:cs="Arial"/>
          <w:color w:val="000000" w:themeColor="text1"/>
          <w:lang w:val="en-US"/>
        </w:rPr>
        <w:tab/>
      </w:r>
      <w:r w:rsidR="00C87D22" w:rsidRPr="00FC69C3">
        <w:rPr>
          <w:rFonts w:cs="Arial"/>
          <w:color w:val="000000" w:themeColor="text1"/>
          <w:lang w:val="en-US"/>
        </w:rPr>
        <w:t xml:space="preserve">– </w:t>
      </w:r>
      <w:r w:rsidR="003C5682">
        <w:rPr>
          <w:rFonts w:cs="Arial"/>
          <w:color w:val="000000" w:themeColor="text1"/>
          <w:lang w:val="en-US"/>
        </w:rPr>
        <w:tab/>
      </w:r>
      <w:proofErr w:type="spellStart"/>
      <w:r w:rsidR="00E736C3">
        <w:rPr>
          <w:rFonts w:cs="Arial"/>
          <w:color w:val="000000" w:themeColor="text1"/>
          <w:lang w:val="en-US"/>
        </w:rPr>
        <w:t>Weeklys</w:t>
      </w:r>
      <w:proofErr w:type="spellEnd"/>
      <w:r w:rsidR="00E736C3">
        <w:rPr>
          <w:rFonts w:cs="Arial"/>
          <w:color w:val="000000" w:themeColor="text1"/>
          <w:lang w:val="en-US"/>
        </w:rPr>
        <w:t xml:space="preserve"> options chain </w:t>
      </w:r>
      <w:r w:rsidR="001E3E3D">
        <w:rPr>
          <w:rFonts w:cs="Arial"/>
          <w:color w:val="000000" w:themeColor="text1"/>
          <w:lang w:val="en-US"/>
        </w:rPr>
        <w:t>designation</w:t>
      </w:r>
      <w:r w:rsidR="009827A2">
        <w:rPr>
          <w:rFonts w:cs="Arial"/>
          <w:color w:val="000000" w:themeColor="text1"/>
          <w:lang w:val="en-US"/>
        </w:rPr>
        <w:t xml:space="preserve"> (</w:t>
      </w:r>
      <w:r w:rsidR="003A7E40">
        <w:rPr>
          <w:rFonts w:cs="Arial"/>
          <w:color w:val="000000" w:themeColor="text1"/>
          <w:lang w:val="en-US"/>
        </w:rPr>
        <w:t xml:space="preserve">see </w:t>
      </w:r>
      <w:r w:rsidR="0018182B">
        <w:rPr>
          <w:rFonts w:cs="Arial"/>
          <w:color w:val="000000" w:themeColor="text1"/>
          <w:lang w:val="en-US"/>
        </w:rPr>
        <w:t>“</w:t>
      </w:r>
      <w:proofErr w:type="spellStart"/>
      <w:r w:rsidR="0018182B" w:rsidRPr="0018182B">
        <w:rPr>
          <w:rFonts w:cs="Arial"/>
          <w:color w:val="000000" w:themeColor="text1"/>
          <w:lang w:val="en-US"/>
        </w:rPr>
        <w:t>Weeklys</w:t>
      </w:r>
      <w:proofErr w:type="spellEnd"/>
      <w:r w:rsidR="0018182B" w:rsidRPr="0018182B">
        <w:rPr>
          <w:rFonts w:cs="Arial"/>
          <w:color w:val="000000" w:themeColor="text1"/>
          <w:lang w:val="en-US"/>
        </w:rPr>
        <w:t xml:space="preserve"> options chain designations</w:t>
      </w:r>
      <w:r w:rsidR="0018182B">
        <w:rPr>
          <w:rFonts w:cs="Arial"/>
          <w:color w:val="000000" w:themeColor="text1"/>
          <w:lang w:val="en-US"/>
        </w:rPr>
        <w:t xml:space="preserve">” </w:t>
      </w:r>
      <w:r w:rsidR="004A7AF5">
        <w:rPr>
          <w:rFonts w:cs="Arial"/>
          <w:color w:val="000000" w:themeColor="text1"/>
          <w:lang w:val="en-US"/>
        </w:rPr>
        <w:t xml:space="preserve">table </w:t>
      </w:r>
      <w:r w:rsidR="003A7E40">
        <w:rPr>
          <w:rFonts w:cs="Arial"/>
          <w:color w:val="000000" w:themeColor="text1"/>
          <w:lang w:val="en-US"/>
        </w:rPr>
        <w:t xml:space="preserve">below for a </w:t>
      </w:r>
      <w:r w:rsidR="002A476E">
        <w:rPr>
          <w:rFonts w:cs="Arial"/>
          <w:color w:val="000000" w:themeColor="text1"/>
          <w:lang w:val="en-US"/>
        </w:rPr>
        <w:t>complete</w:t>
      </w:r>
      <w:r w:rsidR="000A3E58">
        <w:rPr>
          <w:rFonts w:cs="Arial"/>
          <w:color w:val="000000" w:themeColor="text1"/>
          <w:lang w:val="en-US"/>
        </w:rPr>
        <w:t xml:space="preserve"> list</w:t>
      </w:r>
      <w:r w:rsidR="009827A2">
        <w:rPr>
          <w:rFonts w:cs="Arial"/>
          <w:color w:val="000000" w:themeColor="text1"/>
          <w:lang w:val="en-US"/>
        </w:rPr>
        <w:t>)</w:t>
      </w:r>
      <w:r w:rsidR="003A7E40">
        <w:rPr>
          <w:rFonts w:cs="Arial"/>
          <w:color w:val="000000" w:themeColor="text1"/>
          <w:lang w:val="en-US"/>
        </w:rPr>
        <w:t>.</w:t>
      </w:r>
    </w:p>
    <w:p w14:paraId="696BD4EA" w14:textId="0D52AD4C" w:rsidR="009A66A3" w:rsidRDefault="009A66A3" w:rsidP="009A66A3">
      <w:pPr>
        <w:tabs>
          <w:tab w:val="left" w:pos="1701"/>
        </w:tabs>
        <w:spacing w:before="120" w:after="120" w:line="240" w:lineRule="auto"/>
        <w:jc w:val="both"/>
        <w:rPr>
          <w:rFonts w:cs="Arial"/>
          <w:i/>
          <w:color w:val="000000" w:themeColor="text1"/>
          <w:lang w:val="en-US"/>
        </w:rPr>
      </w:pPr>
      <w:r>
        <w:rPr>
          <w:rFonts w:cs="Arial"/>
          <w:i/>
          <w:color w:val="000000" w:themeColor="text1"/>
          <w:lang w:val="en-US"/>
        </w:rPr>
        <w:lastRenderedPageBreak/>
        <w:t>Options expiration codes:</w:t>
      </w:r>
    </w:p>
    <w:tbl>
      <w:tblPr>
        <w:tblW w:w="4489" w:type="dxa"/>
        <w:jc w:val="center"/>
        <w:tblInd w:w="-4014" w:type="dxa"/>
        <w:tblLook w:val="04A0" w:firstRow="1" w:lastRow="0" w:firstColumn="1" w:lastColumn="0" w:noHBand="0" w:noVBand="1"/>
      </w:tblPr>
      <w:tblGrid>
        <w:gridCol w:w="1755"/>
        <w:gridCol w:w="1330"/>
        <w:gridCol w:w="1404"/>
      </w:tblGrid>
      <w:tr w:rsidR="009A66A3" w:rsidRPr="002750FD" w14:paraId="362087DE" w14:textId="77777777" w:rsidTr="002750FD">
        <w:trPr>
          <w:trHeight w:val="345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101D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lang w:val="en-US"/>
              </w:rPr>
              <w:t>Month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316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lang w:val="en-US"/>
              </w:rPr>
              <w:t>Calls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F1B5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lang w:val="en-US"/>
              </w:rPr>
              <w:t>Puts</w:t>
            </w:r>
          </w:p>
        </w:tc>
      </w:tr>
      <w:tr w:rsidR="009A66A3" w:rsidRPr="00C87D22" w14:paraId="36B7A611" w14:textId="77777777" w:rsidTr="002750FD">
        <w:trPr>
          <w:trHeight w:val="359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4B2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January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A5D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A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F005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M</w:t>
            </w:r>
          </w:p>
        </w:tc>
      </w:tr>
      <w:tr w:rsidR="009A66A3" w:rsidRPr="00C87D22" w14:paraId="3B12EC95" w14:textId="77777777" w:rsidTr="002750FD">
        <w:trPr>
          <w:trHeight w:val="37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122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February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FB8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B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B91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N</w:t>
            </w:r>
          </w:p>
        </w:tc>
      </w:tr>
      <w:tr w:rsidR="009A66A3" w:rsidRPr="00C87D22" w14:paraId="28CFF51D" w14:textId="77777777" w:rsidTr="002750FD">
        <w:trPr>
          <w:trHeight w:val="197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E0FA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March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04A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C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B5B8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O</w:t>
            </w:r>
          </w:p>
        </w:tc>
      </w:tr>
      <w:tr w:rsidR="009A66A3" w:rsidRPr="00C87D22" w14:paraId="1DAFD7FB" w14:textId="77777777" w:rsidTr="002750FD">
        <w:trPr>
          <w:trHeight w:val="115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5E3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April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2D3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D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4EED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P</w:t>
            </w:r>
          </w:p>
        </w:tc>
      </w:tr>
      <w:tr w:rsidR="009A66A3" w:rsidRPr="00C87D22" w14:paraId="78606E32" w14:textId="77777777" w:rsidTr="002750FD">
        <w:trPr>
          <w:trHeight w:val="188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71A6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May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9B7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E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F0D1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Q</w:t>
            </w:r>
          </w:p>
        </w:tc>
      </w:tr>
      <w:tr w:rsidR="009A66A3" w:rsidRPr="00C87D22" w14:paraId="368CC495" w14:textId="77777777" w:rsidTr="002750FD">
        <w:trPr>
          <w:trHeight w:val="121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6023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June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ED0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F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8211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R</w:t>
            </w:r>
          </w:p>
        </w:tc>
      </w:tr>
      <w:tr w:rsidR="009A66A3" w:rsidRPr="00C87D22" w14:paraId="429F1A09" w14:textId="77777777" w:rsidTr="002750FD">
        <w:trPr>
          <w:trHeight w:val="121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4C03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July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EA9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G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5EA1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S</w:t>
            </w:r>
          </w:p>
        </w:tc>
      </w:tr>
      <w:tr w:rsidR="009A66A3" w:rsidRPr="00C87D22" w14:paraId="71FBB426" w14:textId="77777777" w:rsidTr="002750FD">
        <w:trPr>
          <w:trHeight w:val="121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930C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August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403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H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2C48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T</w:t>
            </w:r>
          </w:p>
        </w:tc>
      </w:tr>
      <w:tr w:rsidR="009A66A3" w:rsidRPr="00C87D22" w14:paraId="38CA3F08" w14:textId="77777777" w:rsidTr="002750FD">
        <w:trPr>
          <w:trHeight w:val="121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0885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September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3C0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I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B9FE" w14:textId="77777777" w:rsidR="009A66A3" w:rsidRPr="00FC69C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U</w:t>
            </w:r>
          </w:p>
        </w:tc>
      </w:tr>
      <w:tr w:rsidR="009A66A3" w:rsidRPr="00C87D22" w14:paraId="04EF13D9" w14:textId="77777777" w:rsidTr="002750FD">
        <w:trPr>
          <w:trHeight w:val="121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F630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October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78EF" w14:textId="77777777" w:rsidR="009A66A3" w:rsidRPr="002750FD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J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5F70" w14:textId="77777777" w:rsidR="009A66A3" w:rsidRPr="002750FD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V</w:t>
            </w:r>
          </w:p>
        </w:tc>
      </w:tr>
      <w:tr w:rsidR="009A66A3" w:rsidRPr="00C87D22" w14:paraId="5FC4B7D4" w14:textId="77777777" w:rsidTr="002750FD">
        <w:trPr>
          <w:trHeight w:val="121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1C3C" w14:textId="77777777" w:rsidR="009A66A3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November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0AD" w14:textId="77777777" w:rsidR="009A66A3" w:rsidRPr="002750FD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K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7F61" w14:textId="77777777" w:rsidR="009A66A3" w:rsidRPr="002750FD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W</w:t>
            </w:r>
          </w:p>
        </w:tc>
      </w:tr>
      <w:tr w:rsidR="009A66A3" w:rsidRPr="00C87D22" w14:paraId="42B2BE3E" w14:textId="77777777" w:rsidTr="002750FD">
        <w:trPr>
          <w:trHeight w:val="121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925" w14:textId="77777777" w:rsidR="009A66A3" w:rsidRPr="002269BF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December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DDA" w14:textId="77777777" w:rsidR="009A66A3" w:rsidRPr="002750FD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L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EA85" w14:textId="77777777" w:rsidR="009A66A3" w:rsidRPr="002750FD" w:rsidRDefault="009A66A3" w:rsidP="002750FD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750FD">
              <w:rPr>
                <w:rFonts w:cs="Arial"/>
                <w:color w:val="000000" w:themeColor="text1"/>
                <w:lang w:val="en-US"/>
              </w:rPr>
              <w:t>X</w:t>
            </w:r>
          </w:p>
        </w:tc>
      </w:tr>
    </w:tbl>
    <w:p w14:paraId="49F2246A" w14:textId="77777777" w:rsidR="009A66A3" w:rsidRDefault="009A66A3" w:rsidP="00DE4F2B">
      <w:pPr>
        <w:tabs>
          <w:tab w:val="left" w:pos="1701"/>
        </w:tabs>
        <w:spacing w:before="120" w:after="120" w:line="240" w:lineRule="auto"/>
        <w:jc w:val="both"/>
        <w:rPr>
          <w:rFonts w:cs="Arial"/>
          <w:i/>
          <w:color w:val="000000" w:themeColor="text1"/>
          <w:lang w:val="en-US"/>
        </w:rPr>
      </w:pPr>
    </w:p>
    <w:p w14:paraId="5F53B39C" w14:textId="3C6270BA" w:rsidR="00C87D22" w:rsidRPr="00DE4F2B" w:rsidRDefault="00AA63D0" w:rsidP="00DE4F2B">
      <w:pPr>
        <w:tabs>
          <w:tab w:val="left" w:pos="1701"/>
        </w:tabs>
        <w:spacing w:before="120" w:after="120" w:line="240" w:lineRule="auto"/>
        <w:jc w:val="both"/>
        <w:rPr>
          <w:rFonts w:cs="Arial"/>
          <w:i/>
          <w:color w:val="000000" w:themeColor="text1"/>
          <w:lang w:val="en-US"/>
        </w:rPr>
      </w:pPr>
      <w:proofErr w:type="spellStart"/>
      <w:r>
        <w:rPr>
          <w:rFonts w:cs="Arial"/>
          <w:i/>
          <w:color w:val="000000" w:themeColor="text1"/>
          <w:lang w:val="en-US"/>
        </w:rPr>
        <w:t>Weeklys</w:t>
      </w:r>
      <w:proofErr w:type="spellEnd"/>
      <w:r>
        <w:rPr>
          <w:rFonts w:cs="Arial"/>
          <w:i/>
          <w:color w:val="000000" w:themeColor="text1"/>
          <w:lang w:val="en-US"/>
        </w:rPr>
        <w:t xml:space="preserve"> options chain designation</w:t>
      </w:r>
      <w:r w:rsidR="00C67B2E">
        <w:rPr>
          <w:rFonts w:cs="Arial"/>
          <w:i/>
          <w:color w:val="000000" w:themeColor="text1"/>
          <w:lang w:val="en-US"/>
        </w:rPr>
        <w:t>s</w:t>
      </w:r>
      <w:r w:rsidR="00C87D22" w:rsidRPr="00DE4F2B">
        <w:rPr>
          <w:rFonts w:cs="Arial"/>
          <w:i/>
          <w:color w:val="000000" w:themeColor="text1"/>
          <w:lang w:val="en-US"/>
        </w:rPr>
        <w:t>:</w:t>
      </w:r>
    </w:p>
    <w:p w14:paraId="291E62C8" w14:textId="77777777" w:rsidR="00C87D22" w:rsidRPr="00FC69C3" w:rsidRDefault="00C87D22" w:rsidP="00C87D22">
      <w:pPr>
        <w:spacing w:before="120" w:after="120" w:line="240" w:lineRule="auto"/>
        <w:jc w:val="both"/>
        <w:rPr>
          <w:rFonts w:cs="Arial"/>
          <w:vanish/>
          <w:color w:val="000000" w:themeColor="text1"/>
          <w:lang w:val="en-US"/>
          <w:specVanish/>
        </w:rPr>
      </w:pPr>
    </w:p>
    <w:tbl>
      <w:tblPr>
        <w:tblW w:w="8497" w:type="dxa"/>
        <w:jc w:val="center"/>
        <w:tblLook w:val="04A0" w:firstRow="1" w:lastRow="0" w:firstColumn="1" w:lastColumn="0" w:noHBand="0" w:noVBand="1"/>
      </w:tblPr>
      <w:tblGrid>
        <w:gridCol w:w="2406"/>
        <w:gridCol w:w="6091"/>
      </w:tblGrid>
      <w:tr w:rsidR="00C87D22" w:rsidRPr="003C5682" w14:paraId="2246F530" w14:textId="77777777" w:rsidTr="001D4846">
        <w:trPr>
          <w:trHeight w:val="345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56D8" w14:textId="77777777" w:rsidR="00C87D22" w:rsidRPr="002269BF" w:rsidRDefault="00C87D22" w:rsidP="001D484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lang w:val="en-US"/>
              </w:rPr>
              <w:t>Field code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B30" w14:textId="77777777" w:rsidR="00C87D22" w:rsidRPr="00FC69C3" w:rsidRDefault="00C87D22" w:rsidP="001D484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lang w:val="en-US"/>
              </w:rPr>
              <w:t xml:space="preserve">Week </w:t>
            </w:r>
          </w:p>
        </w:tc>
      </w:tr>
      <w:tr w:rsidR="00C87D22" w:rsidRPr="00C87D22" w14:paraId="2A0E229F" w14:textId="77777777" w:rsidTr="001D4846">
        <w:trPr>
          <w:trHeight w:val="359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077C" w14:textId="77777777" w:rsidR="00C87D22" w:rsidRPr="002269BF" w:rsidRDefault="00C87D22" w:rsidP="001D4846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null</w:t>
            </w:r>
          </w:p>
        </w:tc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D9BF" w14:textId="0AF649A3" w:rsidR="00C87D22" w:rsidRPr="00FC69C3" w:rsidRDefault="00414466" w:rsidP="008D4E76">
            <w:pPr>
              <w:spacing w:before="60" w:after="60" w:line="240" w:lineRule="auto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M</w:t>
            </w:r>
            <w:r w:rsidR="00C87D22">
              <w:rPr>
                <w:rFonts w:cs="Arial"/>
                <w:color w:val="000000" w:themeColor="text1"/>
                <w:lang w:val="en-US"/>
              </w:rPr>
              <w:t>onthly</w:t>
            </w:r>
            <w:r>
              <w:rPr>
                <w:rFonts w:cs="Arial"/>
                <w:color w:val="000000" w:themeColor="text1"/>
                <w:lang w:val="en-US"/>
              </w:rPr>
              <w:t>s</w:t>
            </w:r>
            <w:proofErr w:type="spellEnd"/>
            <w:r w:rsidR="00C87D22">
              <w:rPr>
                <w:rFonts w:cs="Arial"/>
                <w:color w:val="000000" w:themeColor="text1"/>
                <w:lang w:val="en-US"/>
              </w:rPr>
              <w:t xml:space="preserve"> or </w:t>
            </w:r>
            <w:proofErr w:type="spellStart"/>
            <w:r>
              <w:rPr>
                <w:rFonts w:cs="Arial"/>
                <w:color w:val="000000" w:themeColor="text1"/>
                <w:lang w:val="en-US"/>
              </w:rPr>
              <w:t>Q</w:t>
            </w:r>
            <w:r w:rsidR="00C87D22">
              <w:rPr>
                <w:rFonts w:cs="Arial"/>
                <w:color w:val="000000" w:themeColor="text1"/>
                <w:lang w:val="en-US"/>
              </w:rPr>
              <w:t>uarterly</w:t>
            </w:r>
            <w:r>
              <w:rPr>
                <w:rFonts w:cs="Arial"/>
                <w:color w:val="000000" w:themeColor="text1"/>
                <w:lang w:val="en-US"/>
              </w:rPr>
              <w:t>s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  <w:tr w:rsidR="00C87D22" w:rsidRPr="00451928" w14:paraId="0B543506" w14:textId="77777777" w:rsidTr="001D4846">
        <w:trPr>
          <w:trHeight w:val="376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E402" w14:textId="77777777" w:rsidR="00C87D22" w:rsidRPr="002269BF" w:rsidRDefault="00C87D22" w:rsidP="001D4846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269BF">
              <w:rPr>
                <w:rFonts w:cs="Arial"/>
                <w:color w:val="000000" w:themeColor="text1"/>
                <w:lang w:val="en-US"/>
              </w:rPr>
              <w:t>A</w:t>
            </w:r>
          </w:p>
        </w:tc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50D" w14:textId="6A6CD02D" w:rsidR="00C87D22" w:rsidRPr="00FC69C3" w:rsidRDefault="006D60FF" w:rsidP="008D4E76">
            <w:pPr>
              <w:spacing w:before="60" w:after="60" w:line="240" w:lineRule="auto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W</w:t>
            </w:r>
            <w:r w:rsidR="00C87D22">
              <w:rPr>
                <w:rFonts w:cs="Arial"/>
                <w:color w:val="000000" w:themeColor="text1"/>
                <w:lang w:val="en-US"/>
              </w:rPr>
              <w:t>eekly</w:t>
            </w:r>
            <w:r>
              <w:rPr>
                <w:rFonts w:cs="Arial"/>
                <w:color w:val="000000" w:themeColor="text1"/>
                <w:lang w:val="en-US"/>
              </w:rPr>
              <w:t>s</w:t>
            </w:r>
            <w:proofErr w:type="spellEnd"/>
            <w:r w:rsidR="00C87D22" w:rsidRPr="00FC69C3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>
              <w:rPr>
                <w:rFonts w:cs="Arial"/>
                <w:color w:val="000000" w:themeColor="text1"/>
                <w:lang w:val="en-US"/>
              </w:rPr>
              <w:t>expir</w:t>
            </w:r>
            <w:r w:rsidR="007F7A9F">
              <w:rPr>
                <w:rFonts w:cs="Arial"/>
                <w:color w:val="000000" w:themeColor="text1"/>
                <w:lang w:val="en-US"/>
              </w:rPr>
              <w:t>ing</w:t>
            </w:r>
            <w:r w:rsidR="00C87D22" w:rsidRPr="00FC69C3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>
              <w:rPr>
                <w:rFonts w:cs="Arial"/>
                <w:color w:val="000000" w:themeColor="text1"/>
                <w:lang w:val="en-US"/>
              </w:rPr>
              <w:t>on</w:t>
            </w:r>
            <w:r w:rsidR="00C87D22" w:rsidRPr="00FC69C3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>
              <w:rPr>
                <w:rFonts w:cs="Arial"/>
                <w:color w:val="000000" w:themeColor="text1"/>
                <w:lang w:val="en-US"/>
              </w:rPr>
              <w:t>the</w:t>
            </w:r>
            <w:r w:rsidR="00C87D22" w:rsidRPr="00FC69C3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>
              <w:rPr>
                <w:rFonts w:cs="Arial"/>
                <w:color w:val="000000" w:themeColor="text1"/>
                <w:lang w:val="en-US"/>
              </w:rPr>
              <w:t>first</w:t>
            </w:r>
            <w:r w:rsidR="00C87D22" w:rsidRPr="00FC69C3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>
              <w:rPr>
                <w:rFonts w:cs="Arial"/>
                <w:color w:val="000000" w:themeColor="text1"/>
                <w:lang w:val="en-US"/>
              </w:rPr>
              <w:t>Thursday</w:t>
            </w:r>
            <w:r w:rsidR="00C87D22" w:rsidRPr="00FC69C3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>
              <w:rPr>
                <w:rFonts w:cs="Arial"/>
                <w:color w:val="000000" w:themeColor="text1"/>
                <w:lang w:val="en-US"/>
              </w:rPr>
              <w:t>of the month</w:t>
            </w:r>
            <w:r w:rsidR="00CA07F9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  <w:tr w:rsidR="00C87D22" w:rsidRPr="00451928" w14:paraId="649F384C" w14:textId="77777777" w:rsidTr="001D4846">
        <w:trPr>
          <w:trHeight w:val="197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DDBA" w14:textId="77777777" w:rsidR="00C87D22" w:rsidRPr="002269BF" w:rsidRDefault="00C87D22" w:rsidP="001D4846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269BF">
              <w:rPr>
                <w:rFonts w:cs="Arial"/>
                <w:color w:val="000000" w:themeColor="text1"/>
                <w:lang w:val="en-US"/>
              </w:rPr>
              <w:t>B</w:t>
            </w:r>
          </w:p>
        </w:tc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0B67" w14:textId="45AF3773" w:rsidR="00C87D22" w:rsidRPr="00FC69C3" w:rsidRDefault="00595064" w:rsidP="008D4E76">
            <w:pPr>
              <w:spacing w:before="60" w:after="60" w:line="240" w:lineRule="auto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W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>eekly</w:t>
            </w:r>
            <w:r>
              <w:rPr>
                <w:rFonts w:cs="Arial"/>
                <w:color w:val="000000" w:themeColor="text1"/>
                <w:lang w:val="en-US"/>
              </w:rPr>
              <w:t>s</w:t>
            </w:r>
            <w:proofErr w:type="spellEnd"/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7F7A9F" w:rsidRPr="00E31E75">
              <w:rPr>
                <w:rFonts w:cs="Arial"/>
                <w:color w:val="000000" w:themeColor="text1"/>
                <w:lang w:val="en-US"/>
              </w:rPr>
              <w:t>expir</w:t>
            </w:r>
            <w:r w:rsidR="007F7A9F">
              <w:rPr>
                <w:rFonts w:cs="Arial"/>
                <w:color w:val="000000" w:themeColor="text1"/>
                <w:lang w:val="en-US"/>
              </w:rPr>
              <w:t>ing</w:t>
            </w:r>
            <w:r w:rsidR="007F7A9F" w:rsidRPr="00E31E75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on the </w:t>
            </w:r>
            <w:r w:rsidR="00C87D22">
              <w:rPr>
                <w:rFonts w:cs="Arial"/>
                <w:color w:val="000000" w:themeColor="text1"/>
                <w:lang w:val="en-US"/>
              </w:rPr>
              <w:t>second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 Thursday of the month</w:t>
            </w:r>
            <w:r w:rsidR="00CA07F9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  <w:tr w:rsidR="00C87D22" w:rsidRPr="00451928" w14:paraId="25A479B4" w14:textId="77777777" w:rsidTr="001D4846">
        <w:trPr>
          <w:trHeight w:val="115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932" w14:textId="77777777" w:rsidR="00C87D22" w:rsidRPr="002269BF" w:rsidRDefault="00C87D22" w:rsidP="001D4846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269BF">
              <w:rPr>
                <w:rFonts w:cs="Arial"/>
                <w:color w:val="000000" w:themeColor="text1"/>
                <w:lang w:val="en-US"/>
              </w:rPr>
              <w:t>C</w:t>
            </w:r>
          </w:p>
        </w:tc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E7FB" w14:textId="6F4FBF04" w:rsidR="00C87D22" w:rsidRPr="00FC69C3" w:rsidRDefault="00595064" w:rsidP="008D4E76">
            <w:pPr>
              <w:spacing w:before="60" w:after="60" w:line="240" w:lineRule="auto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W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>eekly</w:t>
            </w:r>
            <w:r>
              <w:rPr>
                <w:rFonts w:cs="Arial"/>
                <w:color w:val="000000" w:themeColor="text1"/>
                <w:lang w:val="en-US"/>
              </w:rPr>
              <w:t>s</w:t>
            </w:r>
            <w:proofErr w:type="spellEnd"/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7F7A9F" w:rsidRPr="00E31E75">
              <w:rPr>
                <w:rFonts w:cs="Arial"/>
                <w:color w:val="000000" w:themeColor="text1"/>
                <w:lang w:val="en-US"/>
              </w:rPr>
              <w:t>expir</w:t>
            </w:r>
            <w:r w:rsidR="007F7A9F">
              <w:rPr>
                <w:rFonts w:cs="Arial"/>
                <w:color w:val="000000" w:themeColor="text1"/>
                <w:lang w:val="en-US"/>
              </w:rPr>
              <w:t>ing</w:t>
            </w:r>
            <w:r w:rsidR="007F7A9F" w:rsidRPr="00E31E75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on the </w:t>
            </w:r>
            <w:r w:rsidR="00C87D22">
              <w:rPr>
                <w:rFonts w:cs="Arial"/>
                <w:color w:val="000000" w:themeColor="text1"/>
                <w:lang w:val="en-US"/>
              </w:rPr>
              <w:t>third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 Thursday of the month</w:t>
            </w:r>
            <w:r w:rsidR="00CA07F9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  <w:tr w:rsidR="00C87D22" w:rsidRPr="00451928" w14:paraId="241CD5CB" w14:textId="77777777" w:rsidTr="001D4846">
        <w:trPr>
          <w:trHeight w:val="188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A8FC" w14:textId="77777777" w:rsidR="00C87D22" w:rsidRPr="002269BF" w:rsidRDefault="00C87D22" w:rsidP="001D4846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269BF">
              <w:rPr>
                <w:rFonts w:cs="Arial"/>
                <w:color w:val="000000" w:themeColor="text1"/>
                <w:lang w:val="en-US"/>
              </w:rPr>
              <w:t>D</w:t>
            </w:r>
          </w:p>
        </w:tc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A709" w14:textId="0BFC69CA" w:rsidR="00C87D22" w:rsidRPr="00FC69C3" w:rsidRDefault="00595064" w:rsidP="008D4E76">
            <w:pPr>
              <w:spacing w:before="60" w:after="60" w:line="240" w:lineRule="auto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W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>eekly</w:t>
            </w:r>
            <w:r>
              <w:rPr>
                <w:rFonts w:cs="Arial"/>
                <w:color w:val="000000" w:themeColor="text1"/>
                <w:lang w:val="en-US"/>
              </w:rPr>
              <w:t>s</w:t>
            </w:r>
            <w:proofErr w:type="spellEnd"/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7F7A9F" w:rsidRPr="00E31E75">
              <w:rPr>
                <w:rFonts w:cs="Arial"/>
                <w:color w:val="000000" w:themeColor="text1"/>
                <w:lang w:val="en-US"/>
              </w:rPr>
              <w:t>expir</w:t>
            </w:r>
            <w:r w:rsidR="007F7A9F">
              <w:rPr>
                <w:rFonts w:cs="Arial"/>
                <w:color w:val="000000" w:themeColor="text1"/>
                <w:lang w:val="en-US"/>
              </w:rPr>
              <w:t>ing</w:t>
            </w:r>
            <w:r w:rsidR="007F7A9F" w:rsidRPr="00E31E75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on the </w:t>
            </w:r>
            <w:r w:rsidR="00C87D22">
              <w:rPr>
                <w:rFonts w:cs="Arial"/>
                <w:color w:val="000000" w:themeColor="text1"/>
                <w:lang w:val="en-US"/>
              </w:rPr>
              <w:t xml:space="preserve">fourth 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>Thursday of the month</w:t>
            </w:r>
            <w:r w:rsidR="00CA07F9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  <w:tr w:rsidR="00C87D22" w:rsidRPr="00451928" w14:paraId="0B40ABA5" w14:textId="77777777" w:rsidTr="001D4846">
        <w:trPr>
          <w:trHeight w:val="121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9834" w14:textId="77777777" w:rsidR="00C87D22" w:rsidRPr="002269BF" w:rsidRDefault="00C87D22" w:rsidP="001D4846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lang w:val="en-US"/>
              </w:rPr>
            </w:pPr>
            <w:r w:rsidRPr="002269BF">
              <w:rPr>
                <w:rFonts w:cs="Arial"/>
                <w:color w:val="000000" w:themeColor="text1"/>
                <w:lang w:val="en-US"/>
              </w:rPr>
              <w:t>E</w:t>
            </w:r>
          </w:p>
        </w:tc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B2FE" w14:textId="03E42B98" w:rsidR="00C87D22" w:rsidRPr="00FC69C3" w:rsidRDefault="00595064" w:rsidP="008D4E76">
            <w:pPr>
              <w:spacing w:before="60" w:after="60" w:line="240" w:lineRule="auto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W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>eekly</w:t>
            </w:r>
            <w:r>
              <w:rPr>
                <w:rFonts w:cs="Arial"/>
                <w:color w:val="000000" w:themeColor="text1"/>
                <w:lang w:val="en-US"/>
              </w:rPr>
              <w:t>s</w:t>
            </w:r>
            <w:proofErr w:type="spellEnd"/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7F7A9F" w:rsidRPr="00E31E75">
              <w:rPr>
                <w:rFonts w:cs="Arial"/>
                <w:color w:val="000000" w:themeColor="text1"/>
                <w:lang w:val="en-US"/>
              </w:rPr>
              <w:t>expir</w:t>
            </w:r>
            <w:r w:rsidR="007F7A9F">
              <w:rPr>
                <w:rFonts w:cs="Arial"/>
                <w:color w:val="000000" w:themeColor="text1"/>
                <w:lang w:val="en-US"/>
              </w:rPr>
              <w:t>ing</w:t>
            </w:r>
            <w:r w:rsidR="007F7A9F" w:rsidRPr="00E31E75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>on the fi</w:t>
            </w:r>
            <w:r w:rsidR="00C87D22">
              <w:rPr>
                <w:rFonts w:cs="Arial"/>
                <w:color w:val="000000" w:themeColor="text1"/>
                <w:lang w:val="en-US"/>
              </w:rPr>
              <w:t>fth</w:t>
            </w:r>
            <w:r w:rsidR="00C87D22" w:rsidRPr="00E31E75">
              <w:rPr>
                <w:rFonts w:cs="Arial"/>
                <w:color w:val="000000" w:themeColor="text1"/>
                <w:lang w:val="en-US"/>
              </w:rPr>
              <w:t xml:space="preserve"> Thursday of the month</w:t>
            </w:r>
            <w:r w:rsidR="00CA07F9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</w:tbl>
    <w:p w14:paraId="102AEA45" w14:textId="77777777" w:rsidR="00C87D22" w:rsidRDefault="00C87D22" w:rsidP="00DE4F2B">
      <w:pPr>
        <w:tabs>
          <w:tab w:val="left" w:pos="1701"/>
        </w:tabs>
        <w:spacing w:before="120" w:after="120" w:line="240" w:lineRule="auto"/>
        <w:jc w:val="both"/>
        <w:rPr>
          <w:rFonts w:cs="Arial"/>
          <w:i/>
          <w:color w:val="000000" w:themeColor="text1"/>
          <w:lang w:val="en-US"/>
        </w:rPr>
      </w:pPr>
    </w:p>
    <w:p w14:paraId="596A24AB" w14:textId="5DDE6BA7" w:rsidR="00C87D22" w:rsidRPr="00FC2FDC" w:rsidRDefault="00C87D22" w:rsidP="00C87D22">
      <w:pPr>
        <w:rPr>
          <w:rFonts w:cs="Arial"/>
          <w:b/>
          <w:color w:val="000000" w:themeColor="text1"/>
          <w:lang w:val="en-US"/>
        </w:rPr>
      </w:pPr>
      <w:proofErr w:type="gramStart"/>
      <w:r>
        <w:rPr>
          <w:rFonts w:cs="Arial"/>
          <w:b/>
          <w:color w:val="000000" w:themeColor="text1"/>
          <w:lang w:val="en-US"/>
        </w:rPr>
        <w:t xml:space="preserve">Section </w:t>
      </w:r>
      <w:r w:rsidRPr="00FC69C3">
        <w:rPr>
          <w:rFonts w:cs="Arial"/>
          <w:b/>
          <w:color w:val="000000" w:themeColor="text1"/>
          <w:lang w:val="en-US"/>
        </w:rPr>
        <w:t>5.</w:t>
      </w:r>
      <w:proofErr w:type="gramEnd"/>
      <w:r w:rsidRPr="00FC69C3">
        <w:rPr>
          <w:rFonts w:cs="Arial"/>
          <w:b/>
          <w:color w:val="000000" w:themeColor="text1"/>
          <w:lang w:val="en-US"/>
        </w:rPr>
        <w:t xml:space="preserve"> </w:t>
      </w:r>
      <w:r w:rsidRPr="00FC2FDC">
        <w:rPr>
          <w:b/>
          <w:lang w:val="en-US"/>
        </w:rPr>
        <w:t xml:space="preserve">New </w:t>
      </w:r>
      <w:r w:rsidR="008E16A6">
        <w:rPr>
          <w:b/>
          <w:lang w:val="en-US"/>
        </w:rPr>
        <w:t>expiration</w:t>
      </w:r>
      <w:r w:rsidR="008E16A6" w:rsidRPr="00FC2FDC">
        <w:rPr>
          <w:b/>
          <w:lang w:val="en-US"/>
        </w:rPr>
        <w:t xml:space="preserve"> </w:t>
      </w:r>
      <w:r w:rsidRPr="00FC2FDC">
        <w:rPr>
          <w:b/>
          <w:lang w:val="en-US"/>
        </w:rPr>
        <w:t>time for USD/RUB and EUR/RUB futures and options</w:t>
      </w:r>
    </w:p>
    <w:p w14:paraId="503F37FF" w14:textId="5D6CFE49" w:rsidR="00721188" w:rsidRDefault="00D5794A" w:rsidP="00C87D22">
      <w:pPr>
        <w:spacing w:after="120" w:line="240" w:lineRule="auto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Currently, </w:t>
      </w:r>
      <w:r w:rsidR="00573BD4">
        <w:rPr>
          <w:rFonts w:cs="Arial"/>
          <w:color w:val="000000" w:themeColor="text1"/>
          <w:lang w:val="en-US"/>
        </w:rPr>
        <w:t>USD</w:t>
      </w:r>
      <w:r w:rsidR="00573BD4" w:rsidRPr="00FC2FDC">
        <w:rPr>
          <w:rFonts w:cs="Arial"/>
          <w:color w:val="000000" w:themeColor="text1"/>
          <w:lang w:val="en-US"/>
        </w:rPr>
        <w:t>/</w:t>
      </w:r>
      <w:r w:rsidR="00573BD4">
        <w:rPr>
          <w:rFonts w:cs="Arial"/>
          <w:color w:val="000000" w:themeColor="text1"/>
          <w:lang w:val="en-US"/>
        </w:rPr>
        <w:t>RUB</w:t>
      </w:r>
      <w:r w:rsidR="00573BD4" w:rsidRPr="00FC2FDC">
        <w:rPr>
          <w:rFonts w:cs="Arial"/>
          <w:color w:val="000000" w:themeColor="text1"/>
          <w:lang w:val="en-US"/>
        </w:rPr>
        <w:t xml:space="preserve"> </w:t>
      </w:r>
      <w:r w:rsidR="00573BD4">
        <w:rPr>
          <w:rFonts w:cs="Arial"/>
          <w:color w:val="000000" w:themeColor="text1"/>
          <w:lang w:val="en-US"/>
        </w:rPr>
        <w:t>and</w:t>
      </w:r>
      <w:r w:rsidR="00573BD4" w:rsidRPr="00FC2FDC">
        <w:rPr>
          <w:rFonts w:cs="Arial"/>
          <w:color w:val="000000" w:themeColor="text1"/>
          <w:lang w:val="en-US"/>
        </w:rPr>
        <w:t xml:space="preserve"> </w:t>
      </w:r>
      <w:r w:rsidR="00573BD4">
        <w:rPr>
          <w:rFonts w:cs="Arial"/>
          <w:color w:val="000000" w:themeColor="text1"/>
          <w:lang w:val="en-US"/>
        </w:rPr>
        <w:t>EUR</w:t>
      </w:r>
      <w:r w:rsidR="00573BD4" w:rsidRPr="00FC2FDC">
        <w:rPr>
          <w:rFonts w:cs="Arial"/>
          <w:color w:val="000000" w:themeColor="text1"/>
          <w:lang w:val="en-US"/>
        </w:rPr>
        <w:t>/</w:t>
      </w:r>
      <w:r w:rsidR="00573BD4">
        <w:rPr>
          <w:rFonts w:cs="Arial"/>
          <w:color w:val="000000" w:themeColor="text1"/>
          <w:lang w:val="en-US"/>
        </w:rPr>
        <w:t xml:space="preserve">RUB </w:t>
      </w:r>
      <w:r>
        <w:rPr>
          <w:rFonts w:cs="Arial"/>
          <w:color w:val="000000" w:themeColor="text1"/>
          <w:lang w:val="en-US"/>
        </w:rPr>
        <w:t xml:space="preserve">futures and options expire and </w:t>
      </w:r>
      <w:r w:rsidR="00CC2651">
        <w:rPr>
          <w:rFonts w:cs="Arial"/>
          <w:color w:val="000000" w:themeColor="text1"/>
          <w:lang w:val="en-US"/>
        </w:rPr>
        <w:t>settle</w:t>
      </w:r>
      <w:r w:rsidR="008D648E">
        <w:rPr>
          <w:rFonts w:cs="Arial"/>
          <w:color w:val="000000" w:themeColor="text1"/>
          <w:lang w:val="en-US"/>
        </w:rPr>
        <w:t xml:space="preserve"> </w:t>
      </w:r>
      <w:r>
        <w:rPr>
          <w:rFonts w:cs="Arial"/>
          <w:color w:val="000000" w:themeColor="text1"/>
          <w:lang w:val="en-US"/>
        </w:rPr>
        <w:t>during the</w:t>
      </w:r>
      <w:r w:rsidRPr="009A5184">
        <w:rPr>
          <w:rFonts w:cs="Arial"/>
          <w:color w:val="000000" w:themeColor="text1"/>
          <w:lang w:val="en-US"/>
        </w:rPr>
        <w:t xml:space="preserve"> </w:t>
      </w:r>
      <w:r w:rsidR="0048373E">
        <w:rPr>
          <w:rFonts w:cs="Arial"/>
          <w:color w:val="000000" w:themeColor="text1"/>
          <w:lang w:val="en-US"/>
        </w:rPr>
        <w:t xml:space="preserve">expiration day’s </w:t>
      </w:r>
      <w:r>
        <w:rPr>
          <w:rFonts w:cs="Arial"/>
          <w:color w:val="000000" w:themeColor="text1"/>
          <w:lang w:val="en-US"/>
        </w:rPr>
        <w:t xml:space="preserve">evening clearing session </w:t>
      </w:r>
      <w:r w:rsidR="00A23FAD">
        <w:rPr>
          <w:rFonts w:cs="Arial"/>
          <w:color w:val="000000" w:themeColor="text1"/>
          <w:lang w:val="en-US"/>
        </w:rPr>
        <w:t>(18</w:t>
      </w:r>
      <w:r w:rsidR="00611428">
        <w:rPr>
          <w:rFonts w:cs="Arial"/>
          <w:color w:val="000000" w:themeColor="text1"/>
          <w:lang w:val="en-US"/>
        </w:rPr>
        <w:t xml:space="preserve">:45 to </w:t>
      </w:r>
      <w:r w:rsidR="00A23FAD">
        <w:rPr>
          <w:rFonts w:cs="Arial"/>
          <w:color w:val="000000" w:themeColor="text1"/>
          <w:lang w:val="en-US"/>
        </w:rPr>
        <w:t>19</w:t>
      </w:r>
      <w:r w:rsidR="00611428">
        <w:rPr>
          <w:rFonts w:cs="Arial"/>
          <w:color w:val="000000" w:themeColor="text1"/>
          <w:lang w:val="en-US"/>
        </w:rPr>
        <w:t>:00 MSK)</w:t>
      </w:r>
      <w:r>
        <w:rPr>
          <w:rFonts w:cs="Arial"/>
          <w:color w:val="000000" w:themeColor="text1"/>
          <w:lang w:val="en-US"/>
        </w:rPr>
        <w:t xml:space="preserve">. </w:t>
      </w:r>
      <w:r w:rsidR="00611428">
        <w:rPr>
          <w:rFonts w:cs="Arial"/>
          <w:color w:val="000000" w:themeColor="text1"/>
          <w:lang w:val="en-US"/>
        </w:rPr>
        <w:t xml:space="preserve">However, </w:t>
      </w:r>
      <w:r w:rsidR="00D6766F">
        <w:rPr>
          <w:rFonts w:cs="Arial"/>
          <w:color w:val="000000" w:themeColor="text1"/>
          <w:lang w:val="en-US"/>
        </w:rPr>
        <w:t xml:space="preserve">Moscow Exchange publishes </w:t>
      </w:r>
      <w:r w:rsidR="00573BD4">
        <w:rPr>
          <w:rFonts w:cs="Arial"/>
          <w:color w:val="000000" w:themeColor="text1"/>
          <w:lang w:val="en-US"/>
        </w:rPr>
        <w:t xml:space="preserve">their </w:t>
      </w:r>
      <w:r w:rsidR="00590FCC">
        <w:rPr>
          <w:rFonts w:cs="Arial"/>
          <w:color w:val="000000" w:themeColor="text1"/>
          <w:lang w:val="en-US"/>
        </w:rPr>
        <w:t xml:space="preserve">exercise </w:t>
      </w:r>
      <w:r w:rsidR="00560CD4">
        <w:rPr>
          <w:rFonts w:cs="Arial"/>
          <w:color w:val="000000" w:themeColor="text1"/>
          <w:lang w:val="en-US"/>
        </w:rPr>
        <w:t>s</w:t>
      </w:r>
      <w:r w:rsidR="00C87D22">
        <w:rPr>
          <w:rFonts w:cs="Arial"/>
          <w:color w:val="000000" w:themeColor="text1"/>
          <w:lang w:val="en-US"/>
        </w:rPr>
        <w:t xml:space="preserve">ettlement </w:t>
      </w:r>
      <w:r w:rsidR="00590FCC">
        <w:rPr>
          <w:rFonts w:cs="Arial"/>
          <w:color w:val="000000" w:themeColor="text1"/>
          <w:lang w:val="en-US"/>
        </w:rPr>
        <w:t xml:space="preserve">values </w:t>
      </w:r>
      <w:r w:rsidR="00C87D22">
        <w:rPr>
          <w:rFonts w:cs="Arial"/>
          <w:color w:val="000000" w:themeColor="text1"/>
          <w:lang w:val="en-US"/>
        </w:rPr>
        <w:t xml:space="preserve">by 12:30 MSK. Therefore, </w:t>
      </w:r>
      <w:r>
        <w:rPr>
          <w:rFonts w:cs="Arial"/>
          <w:color w:val="000000" w:themeColor="text1"/>
          <w:lang w:val="en-US"/>
        </w:rPr>
        <w:t>to avoid an unnecessary delay</w:t>
      </w:r>
      <w:r w:rsidR="004B6CF4">
        <w:rPr>
          <w:rFonts w:cs="Arial"/>
          <w:color w:val="000000" w:themeColor="text1"/>
          <w:lang w:val="en-US"/>
        </w:rPr>
        <w:t>,</w:t>
      </w:r>
      <w:r>
        <w:rPr>
          <w:rFonts w:cs="Arial"/>
          <w:color w:val="000000" w:themeColor="text1"/>
          <w:lang w:val="en-US"/>
        </w:rPr>
        <w:t xml:space="preserve"> </w:t>
      </w:r>
      <w:r w:rsidR="005C72A1">
        <w:rPr>
          <w:rFonts w:cs="Arial"/>
          <w:color w:val="000000" w:themeColor="text1"/>
          <w:lang w:val="en-US"/>
        </w:rPr>
        <w:t>futures</w:t>
      </w:r>
      <w:r w:rsidR="008C65D7">
        <w:rPr>
          <w:rFonts w:cs="Arial"/>
          <w:color w:val="000000" w:themeColor="text1"/>
          <w:lang w:val="en-US"/>
        </w:rPr>
        <w:t>’</w:t>
      </w:r>
      <w:r w:rsidR="005C72A1">
        <w:rPr>
          <w:rFonts w:cs="Arial"/>
          <w:color w:val="000000" w:themeColor="text1"/>
          <w:lang w:val="en-US"/>
        </w:rPr>
        <w:t xml:space="preserve"> </w:t>
      </w:r>
      <w:r w:rsidR="009B2CAC">
        <w:rPr>
          <w:rFonts w:cs="Arial"/>
          <w:color w:val="000000" w:themeColor="text1"/>
          <w:lang w:val="en-US"/>
        </w:rPr>
        <w:t xml:space="preserve">and </w:t>
      </w:r>
      <w:proofErr w:type="spellStart"/>
      <w:r w:rsidR="009B2CAC">
        <w:rPr>
          <w:rFonts w:cs="Arial"/>
          <w:color w:val="000000" w:themeColor="text1"/>
          <w:lang w:val="en-US"/>
        </w:rPr>
        <w:t>Quarterlys</w:t>
      </w:r>
      <w:proofErr w:type="spellEnd"/>
      <w:r w:rsidR="009B2CAC">
        <w:rPr>
          <w:rFonts w:cs="Arial"/>
          <w:color w:val="000000" w:themeColor="text1"/>
          <w:lang w:val="en-US"/>
        </w:rPr>
        <w:t xml:space="preserve"> options’</w:t>
      </w:r>
      <w:r w:rsidR="007901AB">
        <w:rPr>
          <w:rStyle w:val="ac"/>
          <w:rFonts w:cs="Arial"/>
          <w:color w:val="000000" w:themeColor="text1"/>
          <w:lang w:val="en-US"/>
        </w:rPr>
        <w:footnoteReference w:id="11"/>
      </w:r>
      <w:r w:rsidR="009B2CAC">
        <w:rPr>
          <w:rFonts w:cs="Arial"/>
          <w:color w:val="000000" w:themeColor="text1"/>
          <w:lang w:val="en-US"/>
        </w:rPr>
        <w:t xml:space="preserve"> </w:t>
      </w:r>
      <w:r w:rsidR="009A5184">
        <w:rPr>
          <w:rFonts w:cs="Arial"/>
          <w:color w:val="000000" w:themeColor="text1"/>
          <w:lang w:val="en-US"/>
        </w:rPr>
        <w:t>expiration time is</w:t>
      </w:r>
      <w:r w:rsidR="00163E7B">
        <w:rPr>
          <w:rFonts w:cs="Arial"/>
          <w:color w:val="000000" w:themeColor="text1"/>
          <w:lang w:val="en-US"/>
        </w:rPr>
        <w:t xml:space="preserve"> </w:t>
      </w:r>
      <w:r w:rsidR="00791D44">
        <w:rPr>
          <w:rFonts w:cs="Arial"/>
          <w:color w:val="000000" w:themeColor="text1"/>
          <w:lang w:val="en-US"/>
        </w:rPr>
        <w:t xml:space="preserve">being </w:t>
      </w:r>
      <w:r w:rsidR="009A5184">
        <w:rPr>
          <w:rFonts w:cs="Arial"/>
          <w:color w:val="000000" w:themeColor="text1"/>
          <w:lang w:val="en-US"/>
        </w:rPr>
        <w:t>chang</w:t>
      </w:r>
      <w:r w:rsidR="00791D44">
        <w:rPr>
          <w:rFonts w:cs="Arial"/>
          <w:color w:val="000000" w:themeColor="text1"/>
          <w:lang w:val="en-US"/>
        </w:rPr>
        <w:t>ed</w:t>
      </w:r>
      <w:r w:rsidR="009A5184">
        <w:rPr>
          <w:rFonts w:cs="Arial"/>
          <w:color w:val="000000" w:themeColor="text1"/>
          <w:lang w:val="en-US"/>
        </w:rPr>
        <w:t xml:space="preserve"> from</w:t>
      </w:r>
      <w:r w:rsidR="004B6CF4" w:rsidRPr="004B6CF4">
        <w:rPr>
          <w:rFonts w:cs="Arial"/>
          <w:color w:val="000000" w:themeColor="text1"/>
          <w:lang w:val="en-US"/>
        </w:rPr>
        <w:t xml:space="preserve"> </w:t>
      </w:r>
      <w:r w:rsidR="004B6CF4">
        <w:rPr>
          <w:rFonts w:cs="Arial"/>
          <w:color w:val="000000" w:themeColor="text1"/>
          <w:lang w:val="en-US"/>
        </w:rPr>
        <w:t xml:space="preserve">evening </w:t>
      </w:r>
      <w:r w:rsidR="009A5184">
        <w:rPr>
          <w:rFonts w:cs="Arial"/>
          <w:color w:val="000000" w:themeColor="text1"/>
          <w:lang w:val="en-US"/>
        </w:rPr>
        <w:t xml:space="preserve">to the </w:t>
      </w:r>
      <w:r w:rsidR="00C87D22">
        <w:rPr>
          <w:rFonts w:cs="Arial"/>
          <w:color w:val="000000" w:themeColor="text1"/>
          <w:lang w:val="en-US"/>
        </w:rPr>
        <w:t>intraday clearing session (</w:t>
      </w:r>
      <w:r w:rsidR="00A23FAD">
        <w:rPr>
          <w:rFonts w:cs="Arial"/>
          <w:color w:val="000000" w:themeColor="text1"/>
          <w:lang w:val="en-US"/>
        </w:rPr>
        <w:t>14</w:t>
      </w:r>
      <w:r w:rsidR="00C87D22">
        <w:rPr>
          <w:rFonts w:cs="Arial"/>
          <w:color w:val="000000" w:themeColor="text1"/>
          <w:lang w:val="en-US"/>
        </w:rPr>
        <w:t xml:space="preserve">:00 to </w:t>
      </w:r>
      <w:r w:rsidR="00A23FAD">
        <w:rPr>
          <w:rFonts w:cs="Arial"/>
          <w:color w:val="000000" w:themeColor="text1"/>
          <w:lang w:val="en-US"/>
        </w:rPr>
        <w:t>14</w:t>
      </w:r>
      <w:r w:rsidR="00C87D22">
        <w:rPr>
          <w:rFonts w:cs="Arial"/>
          <w:color w:val="000000" w:themeColor="text1"/>
          <w:lang w:val="en-US"/>
        </w:rPr>
        <w:t xml:space="preserve">:03 MSK). </w:t>
      </w:r>
      <w:proofErr w:type="spellStart"/>
      <w:r w:rsidR="00412DBD">
        <w:rPr>
          <w:rFonts w:cs="Arial"/>
          <w:color w:val="000000" w:themeColor="text1"/>
          <w:lang w:val="en-US"/>
        </w:rPr>
        <w:t>Monthlys</w:t>
      </w:r>
      <w:proofErr w:type="spellEnd"/>
      <w:r w:rsidR="00412DBD">
        <w:rPr>
          <w:rFonts w:cs="Arial"/>
          <w:color w:val="000000" w:themeColor="text1"/>
          <w:lang w:val="en-US"/>
        </w:rPr>
        <w:t xml:space="preserve"> and </w:t>
      </w:r>
      <w:proofErr w:type="spellStart"/>
      <w:r w:rsidR="00412DBD">
        <w:rPr>
          <w:rFonts w:cs="Arial"/>
          <w:color w:val="000000" w:themeColor="text1"/>
          <w:lang w:val="en-US"/>
        </w:rPr>
        <w:t>Weeklys</w:t>
      </w:r>
      <w:proofErr w:type="spellEnd"/>
      <w:r w:rsidR="00412DBD">
        <w:rPr>
          <w:rFonts w:cs="Arial"/>
          <w:color w:val="000000" w:themeColor="text1"/>
          <w:lang w:val="en-US"/>
        </w:rPr>
        <w:t>, however, will not be affected by this change</w:t>
      </w:r>
      <w:r w:rsidR="00D266E6">
        <w:rPr>
          <w:rFonts w:cs="Arial"/>
          <w:color w:val="000000" w:themeColor="text1"/>
          <w:lang w:val="en-US"/>
        </w:rPr>
        <w:t xml:space="preserve">; </w:t>
      </w:r>
      <w:r w:rsidR="00C87D22">
        <w:rPr>
          <w:rFonts w:cs="Arial"/>
          <w:color w:val="000000" w:themeColor="text1"/>
          <w:lang w:val="en-US"/>
        </w:rPr>
        <w:t>i.e.</w:t>
      </w:r>
      <w:r w:rsidR="00D266E6">
        <w:rPr>
          <w:rFonts w:cs="Arial"/>
          <w:color w:val="000000" w:themeColor="text1"/>
          <w:lang w:val="en-US"/>
        </w:rPr>
        <w:t>,</w:t>
      </w:r>
      <w:r w:rsidR="00C87D22">
        <w:rPr>
          <w:rFonts w:cs="Arial"/>
          <w:color w:val="000000" w:themeColor="text1"/>
          <w:lang w:val="en-US"/>
        </w:rPr>
        <w:t xml:space="preserve"> </w:t>
      </w:r>
      <w:r w:rsidR="0085445B">
        <w:rPr>
          <w:rFonts w:cs="Arial"/>
          <w:color w:val="000000" w:themeColor="text1"/>
          <w:lang w:val="en-US"/>
        </w:rPr>
        <w:t xml:space="preserve">their </w:t>
      </w:r>
      <w:r w:rsidR="00D266E6">
        <w:rPr>
          <w:rFonts w:cs="Arial"/>
          <w:color w:val="000000" w:themeColor="text1"/>
          <w:lang w:val="en-US"/>
        </w:rPr>
        <w:t xml:space="preserve">expiration time </w:t>
      </w:r>
      <w:r w:rsidR="002E50C9">
        <w:rPr>
          <w:rFonts w:cs="Arial"/>
          <w:color w:val="000000" w:themeColor="text1"/>
          <w:lang w:val="en-US"/>
        </w:rPr>
        <w:t xml:space="preserve">and settlement </w:t>
      </w:r>
      <w:r w:rsidR="00225A1E">
        <w:rPr>
          <w:rFonts w:cs="Arial"/>
          <w:color w:val="000000" w:themeColor="text1"/>
          <w:lang w:val="en-US"/>
        </w:rPr>
        <w:t xml:space="preserve">remaining </w:t>
      </w:r>
      <w:r w:rsidR="00F358C0">
        <w:rPr>
          <w:rFonts w:cs="Arial"/>
          <w:color w:val="000000" w:themeColor="text1"/>
          <w:lang w:val="en-US"/>
        </w:rPr>
        <w:t xml:space="preserve">during </w:t>
      </w:r>
      <w:r w:rsidR="00D266E6">
        <w:rPr>
          <w:rFonts w:cs="Arial"/>
          <w:color w:val="000000" w:themeColor="text1"/>
          <w:lang w:val="en-US"/>
        </w:rPr>
        <w:t xml:space="preserve">the </w:t>
      </w:r>
      <w:r w:rsidR="00C87D22">
        <w:rPr>
          <w:rFonts w:cs="Arial"/>
          <w:color w:val="000000" w:themeColor="text1"/>
          <w:lang w:val="en-US"/>
        </w:rPr>
        <w:t>evening clearing session.</w:t>
      </w:r>
    </w:p>
    <w:p w14:paraId="5EC5C599" w14:textId="72028DAB" w:rsidR="00B745ED" w:rsidRPr="00C87D22" w:rsidRDefault="00721188" w:rsidP="00C87D22">
      <w:pPr>
        <w:spacing w:after="120" w:line="240" w:lineRule="auto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All options will be subject to </w:t>
      </w:r>
      <w:r w:rsidR="00C87D22">
        <w:rPr>
          <w:rFonts w:cs="Arial"/>
          <w:color w:val="000000" w:themeColor="text1"/>
          <w:lang w:val="en-US"/>
        </w:rPr>
        <w:t>automatic exercise</w:t>
      </w:r>
      <w:r w:rsidR="002F3E16">
        <w:rPr>
          <w:rFonts w:cs="Arial"/>
          <w:color w:val="000000" w:themeColor="text1"/>
          <w:lang w:val="en-US"/>
        </w:rPr>
        <w:t xml:space="preserve"> (see Section 1</w:t>
      </w:r>
      <w:r w:rsidR="001F4176">
        <w:rPr>
          <w:rFonts w:cs="Arial"/>
          <w:color w:val="000000" w:themeColor="text1"/>
          <w:lang w:val="en-US"/>
        </w:rPr>
        <w:t xml:space="preserve"> for details</w:t>
      </w:r>
      <w:r w:rsidR="002F3E16">
        <w:rPr>
          <w:rFonts w:cs="Arial"/>
          <w:color w:val="000000" w:themeColor="text1"/>
          <w:lang w:val="en-US"/>
        </w:rPr>
        <w:t>)</w:t>
      </w:r>
      <w:r w:rsidR="00C87D22">
        <w:rPr>
          <w:rFonts w:cs="Arial"/>
          <w:color w:val="000000" w:themeColor="text1"/>
          <w:lang w:val="en-US"/>
        </w:rPr>
        <w:t>.</w:t>
      </w:r>
    </w:p>
    <w:sectPr w:rsidR="00B745ED" w:rsidRPr="00C87D22" w:rsidSect="00DE4F2B"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A6EEE" w14:textId="77777777" w:rsidR="00A41295" w:rsidRDefault="00A41295" w:rsidP="004F5577">
      <w:pPr>
        <w:spacing w:after="0" w:line="240" w:lineRule="auto"/>
      </w:pPr>
      <w:r>
        <w:separator/>
      </w:r>
    </w:p>
  </w:endnote>
  <w:endnote w:type="continuationSeparator" w:id="0">
    <w:p w14:paraId="597CA35F" w14:textId="77777777" w:rsidR="00A41295" w:rsidRDefault="00A41295" w:rsidP="004F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485472"/>
      <w:docPartObj>
        <w:docPartGallery w:val="Page Numbers (Bottom of Page)"/>
        <w:docPartUnique/>
      </w:docPartObj>
    </w:sdtPr>
    <w:sdtEndPr/>
    <w:sdtContent>
      <w:p w14:paraId="152E0238" w14:textId="77777777" w:rsidR="001D4846" w:rsidRDefault="001D484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112">
          <w:rPr>
            <w:noProof/>
          </w:rPr>
          <w:t>1</w:t>
        </w:r>
        <w:r>
          <w:fldChar w:fldCharType="end"/>
        </w:r>
      </w:p>
    </w:sdtContent>
  </w:sdt>
  <w:p w14:paraId="2117CDA0" w14:textId="77777777" w:rsidR="001D4846" w:rsidRDefault="001D484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60DD1" w14:textId="77777777" w:rsidR="00A41295" w:rsidRDefault="00A41295" w:rsidP="004F5577">
      <w:pPr>
        <w:spacing w:after="0" w:line="240" w:lineRule="auto"/>
      </w:pPr>
      <w:r>
        <w:separator/>
      </w:r>
    </w:p>
  </w:footnote>
  <w:footnote w:type="continuationSeparator" w:id="0">
    <w:p w14:paraId="508B9C27" w14:textId="77777777" w:rsidR="00A41295" w:rsidRDefault="00A41295" w:rsidP="004F5577">
      <w:pPr>
        <w:spacing w:after="0" w:line="240" w:lineRule="auto"/>
      </w:pPr>
      <w:r>
        <w:continuationSeparator/>
      </w:r>
    </w:p>
  </w:footnote>
  <w:footnote w:id="1">
    <w:p w14:paraId="2F682541" w14:textId="3F388293" w:rsidR="001D4846" w:rsidRPr="006E451E" w:rsidRDefault="001D4846" w:rsidP="007E0C9C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6E451E">
        <w:rPr>
          <w:lang w:val="en-US"/>
        </w:rPr>
        <w:t xml:space="preserve"> </w:t>
      </w:r>
      <w:r>
        <w:rPr>
          <w:lang w:val="en-US"/>
        </w:rPr>
        <w:t>Settlement price of a futures contract is determined during the evening clearing session on the contract’s last trading day, and is used for determining profit or loss.</w:t>
      </w:r>
    </w:p>
  </w:footnote>
  <w:footnote w:id="2">
    <w:p w14:paraId="3DCE3876" w14:textId="3FDB0D7F" w:rsidR="001D4846" w:rsidRPr="00DE4F2B" w:rsidRDefault="001D4846">
      <w:pPr>
        <w:pStyle w:val="aa"/>
        <w:rPr>
          <w:lang w:val="en-US"/>
        </w:rPr>
      </w:pPr>
      <w:r>
        <w:rPr>
          <w:rStyle w:val="ac"/>
        </w:rPr>
        <w:footnoteRef/>
      </w:r>
      <w:r w:rsidRPr="00DE4F2B">
        <w:rPr>
          <w:lang w:val="en-US"/>
        </w:rPr>
        <w:t xml:space="preserve"> </w:t>
      </w:r>
      <w:r>
        <w:rPr>
          <w:lang w:val="en-US"/>
        </w:rPr>
        <w:t xml:space="preserve">An option is at the money (ATM) when the </w:t>
      </w:r>
      <w:r w:rsidRPr="00512B5D">
        <w:rPr>
          <w:lang w:val="en-US"/>
        </w:rPr>
        <w:t>strike price is equal to the settlemen</w:t>
      </w:r>
      <w:r>
        <w:rPr>
          <w:lang w:val="en-US"/>
        </w:rPr>
        <w:t>t price of the underlying future.</w:t>
      </w:r>
    </w:p>
  </w:footnote>
  <w:footnote w:id="3">
    <w:p w14:paraId="3E45C9C7" w14:textId="31F8CD80" w:rsidR="001D4846" w:rsidRPr="006E451E" w:rsidRDefault="001D4846" w:rsidP="00FC2F55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6E451E">
        <w:rPr>
          <w:lang w:val="en-US"/>
        </w:rPr>
        <w:t xml:space="preserve"> In case of early exercise</w:t>
      </w:r>
      <w:r w:rsidR="00952A3A" w:rsidRPr="00952A3A">
        <w:rPr>
          <w:lang w:val="en-US"/>
        </w:rPr>
        <w:t xml:space="preserve"> </w:t>
      </w:r>
      <w:r w:rsidR="00952A3A">
        <w:rPr>
          <w:lang w:val="en-US"/>
        </w:rPr>
        <w:t xml:space="preserve">of ATM </w:t>
      </w:r>
      <w:r w:rsidR="00952A3A" w:rsidRPr="006E451E">
        <w:rPr>
          <w:lang w:val="en-US"/>
        </w:rPr>
        <w:t>options</w:t>
      </w:r>
      <w:r w:rsidRPr="006E451E">
        <w:rPr>
          <w:lang w:val="en-US"/>
        </w:rPr>
        <w:t xml:space="preserve">, </w:t>
      </w:r>
      <w:r w:rsidR="004A2753">
        <w:rPr>
          <w:lang w:val="en-US"/>
        </w:rPr>
        <w:t xml:space="preserve">only the amount indicated in the </w:t>
      </w:r>
      <w:r w:rsidR="00A33DC5">
        <w:rPr>
          <w:lang w:val="en-US"/>
        </w:rPr>
        <w:t xml:space="preserve">buyer’s </w:t>
      </w:r>
      <w:r w:rsidR="004A2753">
        <w:rPr>
          <w:lang w:val="en-US"/>
        </w:rPr>
        <w:t xml:space="preserve">exercise </w:t>
      </w:r>
      <w:r w:rsidR="00464675">
        <w:rPr>
          <w:lang w:val="en-US"/>
        </w:rPr>
        <w:t>request</w:t>
      </w:r>
      <w:r w:rsidR="004A2753">
        <w:rPr>
          <w:lang w:val="en-US"/>
        </w:rPr>
        <w:t xml:space="preserve"> </w:t>
      </w:r>
      <w:r w:rsidR="00B13470">
        <w:rPr>
          <w:lang w:val="en-US"/>
        </w:rPr>
        <w:t>is</w:t>
      </w:r>
      <w:r w:rsidRPr="006E451E">
        <w:rPr>
          <w:lang w:val="en-US"/>
        </w:rPr>
        <w:t xml:space="preserve"> exercised. </w:t>
      </w:r>
    </w:p>
  </w:footnote>
  <w:footnote w:id="4">
    <w:p w14:paraId="3AD13043" w14:textId="22A10A1A" w:rsidR="001D4846" w:rsidRPr="00DE4F2B" w:rsidRDefault="001D4846">
      <w:pPr>
        <w:pStyle w:val="aa"/>
        <w:rPr>
          <w:lang w:val="en-US"/>
        </w:rPr>
      </w:pPr>
      <w:r>
        <w:rPr>
          <w:rStyle w:val="ac"/>
        </w:rPr>
        <w:footnoteRef/>
      </w:r>
      <w:r w:rsidRPr="00DE4F2B">
        <w:rPr>
          <w:lang w:val="en-US"/>
        </w:rPr>
        <w:t xml:space="preserve"> </w:t>
      </w:r>
      <w:r>
        <w:rPr>
          <w:lang w:val="en-US"/>
        </w:rPr>
        <w:t>A call option is “d</w:t>
      </w:r>
      <w:r w:rsidRPr="004D2B6B">
        <w:rPr>
          <w:lang w:val="en-US"/>
        </w:rPr>
        <w:t>eep</w:t>
      </w:r>
      <w:r w:rsidRPr="00DE4F2B">
        <w:rPr>
          <w:lang w:val="en-US"/>
        </w:rPr>
        <w:t xml:space="preserve"> </w:t>
      </w:r>
      <w:r>
        <w:rPr>
          <w:lang w:val="en-US"/>
        </w:rPr>
        <w:t>ITM”</w:t>
      </w:r>
      <w:r w:rsidRPr="004D2B6B">
        <w:rPr>
          <w:lang w:val="en-US"/>
        </w:rPr>
        <w:t xml:space="preserve"> </w:t>
      </w:r>
      <w:r>
        <w:rPr>
          <w:lang w:val="en-US"/>
        </w:rPr>
        <w:t xml:space="preserve">when the </w:t>
      </w:r>
      <w:r w:rsidRPr="004D2B6B">
        <w:rPr>
          <w:lang w:val="en-US"/>
        </w:rPr>
        <w:t xml:space="preserve">strike price </w:t>
      </w:r>
      <w:r>
        <w:rPr>
          <w:lang w:val="en-US"/>
        </w:rPr>
        <w:t xml:space="preserve">is below </w:t>
      </w:r>
      <w:r w:rsidRPr="004D2B6B">
        <w:rPr>
          <w:lang w:val="en-US"/>
        </w:rPr>
        <w:t>the underlying future’s current lower limit</w:t>
      </w:r>
      <w:r>
        <w:rPr>
          <w:lang w:val="en-US"/>
        </w:rPr>
        <w:t>;</w:t>
      </w:r>
      <w:r w:rsidRPr="004D2B6B">
        <w:rPr>
          <w:lang w:val="en-US"/>
        </w:rPr>
        <w:t xml:space="preserve"> or, </w:t>
      </w:r>
      <w:r>
        <w:rPr>
          <w:lang w:val="en-US"/>
        </w:rPr>
        <w:t xml:space="preserve">in the case of a put option, </w:t>
      </w:r>
      <w:r w:rsidRPr="004D2B6B">
        <w:rPr>
          <w:lang w:val="en-US"/>
        </w:rPr>
        <w:t xml:space="preserve">the strike </w:t>
      </w:r>
      <w:r>
        <w:rPr>
          <w:lang w:val="en-US"/>
        </w:rPr>
        <w:t xml:space="preserve">price is above </w:t>
      </w:r>
      <w:r w:rsidRPr="004D2B6B">
        <w:rPr>
          <w:lang w:val="en-US"/>
        </w:rPr>
        <w:t xml:space="preserve">the </w:t>
      </w:r>
      <w:r>
        <w:rPr>
          <w:lang w:val="en-US"/>
        </w:rPr>
        <w:t>underlying future’s upper limit.</w:t>
      </w:r>
    </w:p>
  </w:footnote>
  <w:footnote w:id="5">
    <w:p w14:paraId="5D52DF9D" w14:textId="6D09188C" w:rsidR="001D4846" w:rsidRPr="00790720" w:rsidRDefault="001D4846" w:rsidP="00466F20">
      <w:pPr>
        <w:pStyle w:val="aa"/>
        <w:rPr>
          <w:lang w:val="en-US"/>
        </w:rPr>
      </w:pPr>
      <w:r>
        <w:rPr>
          <w:rStyle w:val="ac"/>
        </w:rPr>
        <w:footnoteRef/>
      </w:r>
      <w:r w:rsidRPr="00BA54F8">
        <w:rPr>
          <w:lang w:val="en-US"/>
        </w:rPr>
        <w:t xml:space="preserve"> </w:t>
      </w:r>
      <w:r w:rsidRPr="00867D89">
        <w:rPr>
          <w:lang w:val="en-US"/>
        </w:rPr>
        <w:t>To t</w:t>
      </w:r>
      <w:r w:rsidR="009452D4" w:rsidRPr="00DE4F2B">
        <w:rPr>
          <w:lang w:val="en-US"/>
        </w:rPr>
        <w:t xml:space="preserve">rigger automatic exercise, </w:t>
      </w:r>
      <w:proofErr w:type="spellStart"/>
      <w:r w:rsidR="009452D4" w:rsidRPr="00DE4F2B">
        <w:rPr>
          <w:lang w:val="en-US"/>
        </w:rPr>
        <w:t>Q</w:t>
      </w:r>
      <w:r w:rsidRPr="00867D89">
        <w:rPr>
          <w:lang w:val="en-US"/>
        </w:rPr>
        <w:t>uarterlys</w:t>
      </w:r>
      <w:proofErr w:type="spellEnd"/>
      <w:r w:rsidRPr="00867D89">
        <w:rPr>
          <w:lang w:val="en-US"/>
        </w:rPr>
        <w:t xml:space="preserve"> need only </w:t>
      </w:r>
      <w:proofErr w:type="gramStart"/>
      <w:r w:rsidRPr="00867D89">
        <w:rPr>
          <w:lang w:val="en-US"/>
        </w:rPr>
        <w:t>expire</w:t>
      </w:r>
      <w:proofErr w:type="gramEnd"/>
      <w:r w:rsidRPr="00867D89">
        <w:rPr>
          <w:lang w:val="en-US"/>
        </w:rPr>
        <w:t xml:space="preserve"> ITM, as opposed to deep ITM.</w:t>
      </w:r>
    </w:p>
  </w:footnote>
  <w:footnote w:id="6">
    <w:p w14:paraId="3FAF50E2" w14:textId="4312947B" w:rsidR="001D4846" w:rsidRPr="00BB7051" w:rsidRDefault="001D4846" w:rsidP="00FE7C25">
      <w:pPr>
        <w:pStyle w:val="aa"/>
        <w:jc w:val="both"/>
        <w:rPr>
          <w:lang w:val="en-US"/>
        </w:rPr>
      </w:pPr>
      <w:r w:rsidRPr="00AF2AFD">
        <w:rPr>
          <w:rStyle w:val="ac"/>
        </w:rPr>
        <w:footnoteRef/>
      </w:r>
      <w:r w:rsidRPr="00BB7051">
        <w:rPr>
          <w:lang w:val="en-US"/>
        </w:rPr>
        <w:t xml:space="preserve"> </w:t>
      </w:r>
      <w:r>
        <w:rPr>
          <w:lang w:val="en-US"/>
        </w:rPr>
        <w:t xml:space="preserve">Expiration day opens at </w:t>
      </w:r>
      <w:r w:rsidR="008517C7">
        <w:rPr>
          <w:lang w:val="en-US"/>
        </w:rPr>
        <w:t>19</w:t>
      </w:r>
      <w:r>
        <w:rPr>
          <w:lang w:val="en-US"/>
        </w:rPr>
        <w:t xml:space="preserve">:00 MSK on the previous business day and closes at </w:t>
      </w:r>
      <w:r w:rsidR="008517C7">
        <w:rPr>
          <w:lang w:val="en-US"/>
        </w:rPr>
        <w:t>18</w:t>
      </w:r>
      <w:r w:rsidRPr="00867D89">
        <w:rPr>
          <w:lang w:val="en-US"/>
        </w:rPr>
        <w:t xml:space="preserve">:45 </w:t>
      </w:r>
      <w:r>
        <w:rPr>
          <w:lang w:val="en-US"/>
        </w:rPr>
        <w:t>MSK on the expiration date; analogous to the schedule of a normal trading day on the Moscow Exchange.</w:t>
      </w:r>
    </w:p>
  </w:footnote>
  <w:footnote w:id="7">
    <w:p w14:paraId="4EF4B5E7" w14:textId="77777777" w:rsidR="001D4846" w:rsidRPr="00370C1E" w:rsidRDefault="001D4846" w:rsidP="00797DE0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>
        <w:rPr>
          <w:lang w:val="en-US"/>
        </w:rPr>
        <w:t xml:space="preserve"> USD/RUB and EUR/RUB options expire during the intraday clearing session on the expiration date (see Section 5 for details); all other options expire during the</w:t>
      </w:r>
      <w:r w:rsidRPr="00BB7051">
        <w:rPr>
          <w:lang w:val="en-US"/>
        </w:rPr>
        <w:t xml:space="preserve"> </w:t>
      </w:r>
      <w:r>
        <w:rPr>
          <w:lang w:val="en-US"/>
        </w:rPr>
        <w:t>evening</w:t>
      </w:r>
      <w:r w:rsidRPr="00BB7051">
        <w:rPr>
          <w:lang w:val="en-US"/>
        </w:rPr>
        <w:t xml:space="preserve"> </w:t>
      </w:r>
      <w:r>
        <w:rPr>
          <w:lang w:val="en-US"/>
        </w:rPr>
        <w:t>clearing</w:t>
      </w:r>
      <w:r w:rsidRPr="00BB7051">
        <w:rPr>
          <w:lang w:val="en-US"/>
        </w:rPr>
        <w:t xml:space="preserve"> </w:t>
      </w:r>
      <w:r>
        <w:rPr>
          <w:lang w:val="en-US"/>
        </w:rPr>
        <w:t>session</w:t>
      </w:r>
      <w:r w:rsidRPr="00BB7051">
        <w:rPr>
          <w:lang w:val="en-US"/>
        </w:rPr>
        <w:t xml:space="preserve"> </w:t>
      </w:r>
      <w:r>
        <w:rPr>
          <w:lang w:val="en-US"/>
        </w:rPr>
        <w:t>on the corresponding expiration date.</w:t>
      </w:r>
    </w:p>
  </w:footnote>
  <w:footnote w:id="8">
    <w:p w14:paraId="4AAB4C2A" w14:textId="5024CC0F" w:rsidR="00744C05" w:rsidRPr="00DE4F2B" w:rsidRDefault="00744C05">
      <w:pPr>
        <w:pStyle w:val="aa"/>
        <w:rPr>
          <w:lang w:val="en-US"/>
        </w:rPr>
      </w:pPr>
      <w:r>
        <w:rPr>
          <w:rStyle w:val="ac"/>
        </w:rPr>
        <w:footnoteRef/>
      </w:r>
      <w:r w:rsidRPr="00DE4F2B">
        <w:rPr>
          <w:lang w:val="en-US"/>
        </w:rPr>
        <w:t xml:space="preserve"> </w:t>
      </w:r>
      <w:r w:rsidR="00983B3D">
        <w:rPr>
          <w:lang w:val="en-US"/>
        </w:rPr>
        <w:t xml:space="preserve">The algorithm considers a position in terms of its increments. Therefore, if </w:t>
      </w:r>
      <w:r w:rsidR="00E40D2E">
        <w:rPr>
          <w:lang w:val="en-US"/>
        </w:rPr>
        <w:t xml:space="preserve">a </w:t>
      </w:r>
      <w:r w:rsidR="00983B3D">
        <w:rPr>
          <w:lang w:val="en-US"/>
        </w:rPr>
        <w:t xml:space="preserve">position was scaled into, the different increments will be considered </w:t>
      </w:r>
      <w:r w:rsidR="002F2A5E">
        <w:rPr>
          <w:lang w:val="en-US"/>
        </w:rPr>
        <w:t>separately</w:t>
      </w:r>
      <w:r w:rsidR="001D3C7A">
        <w:rPr>
          <w:lang w:val="en-US"/>
        </w:rPr>
        <w:t>,</w:t>
      </w:r>
      <w:r w:rsidR="002F2A5E">
        <w:rPr>
          <w:lang w:val="en-US"/>
        </w:rPr>
        <w:t xml:space="preserve"> based on </w:t>
      </w:r>
      <w:r w:rsidR="008B6AC2">
        <w:rPr>
          <w:lang w:val="en-US"/>
        </w:rPr>
        <w:t>their timestamps</w:t>
      </w:r>
      <w:r w:rsidR="00983B3D">
        <w:rPr>
          <w:lang w:val="en-US"/>
        </w:rPr>
        <w:t>.</w:t>
      </w:r>
    </w:p>
  </w:footnote>
  <w:footnote w:id="9">
    <w:p w14:paraId="177EC077" w14:textId="77777777" w:rsidR="009E4953" w:rsidRPr="00674856" w:rsidRDefault="009E4953" w:rsidP="009E4953">
      <w:pPr>
        <w:pStyle w:val="aa"/>
        <w:rPr>
          <w:lang w:val="en-US"/>
        </w:rPr>
      </w:pPr>
      <w:r>
        <w:rPr>
          <w:rStyle w:val="ac"/>
        </w:rPr>
        <w:footnoteRef/>
      </w:r>
      <w:r w:rsidRPr="00674856">
        <w:rPr>
          <w:lang w:val="en-US"/>
        </w:rPr>
        <w:t xml:space="preserve"> “</w:t>
      </w:r>
      <w:proofErr w:type="spellStart"/>
      <w:r w:rsidRPr="00674856">
        <w:rPr>
          <w:lang w:val="en-US"/>
        </w:rPr>
        <w:t>NetPositive</w:t>
      </w:r>
      <w:proofErr w:type="spellEnd"/>
      <w:r w:rsidRPr="00674856">
        <w:rPr>
          <w:lang w:val="en-US"/>
        </w:rPr>
        <w:t xml:space="preserve">” is a risk netting procedure, where near the money long options reduce </w:t>
      </w:r>
      <w:r>
        <w:rPr>
          <w:lang w:val="en-US"/>
        </w:rPr>
        <w:t xml:space="preserve">overall </w:t>
      </w:r>
      <w:r w:rsidRPr="00674856">
        <w:rPr>
          <w:lang w:val="en-US"/>
        </w:rPr>
        <w:t>portfolio margin requirements.</w:t>
      </w:r>
    </w:p>
  </w:footnote>
  <w:footnote w:id="10">
    <w:p w14:paraId="3D7AA805" w14:textId="7D870C2A" w:rsidR="00027282" w:rsidRPr="00DE4F2B" w:rsidRDefault="00027282">
      <w:pPr>
        <w:pStyle w:val="aa"/>
        <w:rPr>
          <w:lang w:val="en-US"/>
        </w:rPr>
      </w:pPr>
      <w:r>
        <w:rPr>
          <w:rStyle w:val="ac"/>
        </w:rPr>
        <w:footnoteRef/>
      </w:r>
      <w:r w:rsidRPr="00DE4F2B">
        <w:rPr>
          <w:lang w:val="en-US"/>
        </w:rPr>
        <w:t xml:space="preserve"> </w:t>
      </w:r>
      <w:r w:rsidR="006D28B2">
        <w:rPr>
          <w:lang w:val="en-US"/>
        </w:rPr>
        <w:t>Currently</w:t>
      </w:r>
      <w:r>
        <w:rPr>
          <w:lang w:val="en-US"/>
        </w:rPr>
        <w:t xml:space="preserve">, only </w:t>
      </w:r>
      <w:proofErr w:type="spellStart"/>
      <w:r>
        <w:rPr>
          <w:lang w:val="en-US"/>
        </w:rPr>
        <w:t>Weeklys</w:t>
      </w:r>
      <w:proofErr w:type="spellEnd"/>
      <w:r>
        <w:rPr>
          <w:lang w:val="en-US"/>
        </w:rPr>
        <w:t xml:space="preserve"> will expire on Thursdays. </w:t>
      </w:r>
      <w:proofErr w:type="spellStart"/>
      <w:r>
        <w:rPr>
          <w:lang w:val="en-US"/>
        </w:rPr>
        <w:t>Monthlys</w:t>
      </w:r>
      <w:proofErr w:type="spellEnd"/>
      <w:r>
        <w:rPr>
          <w:lang w:val="en-US"/>
        </w:rPr>
        <w:t xml:space="preserve"> </w:t>
      </w:r>
      <w:r w:rsidR="003465A8">
        <w:rPr>
          <w:lang w:val="en-US"/>
        </w:rPr>
        <w:t xml:space="preserve">and </w:t>
      </w:r>
      <w:proofErr w:type="spellStart"/>
      <w:r w:rsidR="003465A8">
        <w:rPr>
          <w:lang w:val="en-US"/>
        </w:rPr>
        <w:t>Quarterlys</w:t>
      </w:r>
      <w:proofErr w:type="spellEnd"/>
      <w:r w:rsidR="003465A8">
        <w:rPr>
          <w:lang w:val="en-US"/>
        </w:rPr>
        <w:t xml:space="preserve"> </w:t>
      </w:r>
      <w:r>
        <w:rPr>
          <w:lang w:val="en-US"/>
        </w:rPr>
        <w:t>will continue to expire on the 15</w:t>
      </w:r>
      <w:r w:rsidRPr="00DE4F2B">
        <w:rPr>
          <w:vertAlign w:val="superscript"/>
          <w:lang w:val="en-US"/>
        </w:rPr>
        <w:t>th</w:t>
      </w:r>
      <w:r>
        <w:rPr>
          <w:lang w:val="en-US"/>
        </w:rPr>
        <w:t xml:space="preserve"> of the month</w:t>
      </w:r>
      <w:r w:rsidR="006D28B2">
        <w:rPr>
          <w:lang w:val="en-US"/>
        </w:rPr>
        <w:t>, until further notice</w:t>
      </w:r>
      <w:r>
        <w:rPr>
          <w:lang w:val="en-US"/>
        </w:rPr>
        <w:t>.</w:t>
      </w:r>
      <w:r w:rsidR="00400A36">
        <w:rPr>
          <w:lang w:val="en-US"/>
        </w:rPr>
        <w:t xml:space="preserve"> In order </w:t>
      </w:r>
      <w:r w:rsidR="00E86DE4">
        <w:rPr>
          <w:lang w:val="en-US"/>
        </w:rPr>
        <w:t xml:space="preserve">to prevent their expirations from coinciding, </w:t>
      </w:r>
      <w:proofErr w:type="spellStart"/>
      <w:r w:rsidR="00E86DE4">
        <w:rPr>
          <w:lang w:val="en-US"/>
        </w:rPr>
        <w:t>Weeklys</w:t>
      </w:r>
      <w:proofErr w:type="spellEnd"/>
      <w:r w:rsidR="00E86DE4">
        <w:rPr>
          <w:lang w:val="en-US"/>
        </w:rPr>
        <w:t xml:space="preserve"> </w:t>
      </w:r>
      <w:r w:rsidR="00D52873">
        <w:rPr>
          <w:lang w:val="en-US"/>
        </w:rPr>
        <w:t xml:space="preserve">will not be listed </w:t>
      </w:r>
      <w:r w:rsidR="00E86DE4">
        <w:rPr>
          <w:lang w:val="en-US"/>
        </w:rPr>
        <w:t xml:space="preserve">during the week </w:t>
      </w:r>
      <w:r w:rsidR="008D4E76">
        <w:rPr>
          <w:lang w:val="en-US"/>
        </w:rPr>
        <w:t>that</w:t>
      </w:r>
      <w:r w:rsidR="00E86DE4">
        <w:rPr>
          <w:lang w:val="en-US"/>
        </w:rPr>
        <w:t xml:space="preserve"> </w:t>
      </w:r>
      <w:proofErr w:type="spellStart"/>
      <w:r w:rsidR="00E86DE4">
        <w:rPr>
          <w:lang w:val="en-US"/>
        </w:rPr>
        <w:t>Monthlys</w:t>
      </w:r>
      <w:proofErr w:type="spellEnd"/>
      <w:r w:rsidR="00E86DE4">
        <w:rPr>
          <w:lang w:val="en-US"/>
        </w:rPr>
        <w:t xml:space="preserve"> </w:t>
      </w:r>
      <w:r w:rsidR="003465A8">
        <w:rPr>
          <w:lang w:val="en-US"/>
        </w:rPr>
        <w:t xml:space="preserve">or </w:t>
      </w:r>
      <w:proofErr w:type="spellStart"/>
      <w:r w:rsidR="003465A8">
        <w:rPr>
          <w:lang w:val="en-US"/>
        </w:rPr>
        <w:t>Quarterlys</w:t>
      </w:r>
      <w:proofErr w:type="spellEnd"/>
      <w:r w:rsidR="003465A8">
        <w:rPr>
          <w:lang w:val="en-US"/>
        </w:rPr>
        <w:t xml:space="preserve"> </w:t>
      </w:r>
      <w:r w:rsidR="00E86DE4">
        <w:rPr>
          <w:lang w:val="en-US"/>
        </w:rPr>
        <w:t>expire.</w:t>
      </w:r>
    </w:p>
  </w:footnote>
  <w:footnote w:id="11">
    <w:p w14:paraId="343283A8" w14:textId="673ABB39" w:rsidR="007901AB" w:rsidRPr="00DE4F2B" w:rsidRDefault="007901AB">
      <w:pPr>
        <w:pStyle w:val="aa"/>
        <w:rPr>
          <w:lang w:val="en-US"/>
        </w:rPr>
      </w:pPr>
      <w:r>
        <w:rPr>
          <w:rStyle w:val="ac"/>
        </w:rPr>
        <w:footnoteRef/>
      </w:r>
      <w:r w:rsidRPr="00DE4F2B">
        <w:rPr>
          <w:lang w:val="en-US"/>
        </w:rPr>
        <w:t xml:space="preserve"> </w:t>
      </w:r>
      <w:proofErr w:type="spellStart"/>
      <w:r w:rsidRPr="00DE4F2B">
        <w:rPr>
          <w:lang w:val="en-US"/>
        </w:rPr>
        <w:t>Quarterlys</w:t>
      </w:r>
      <w:proofErr w:type="spellEnd"/>
      <w:r w:rsidRPr="00DE4F2B">
        <w:rPr>
          <w:lang w:val="en-US"/>
        </w:rPr>
        <w:t xml:space="preserve"> </w:t>
      </w:r>
      <w:r w:rsidR="00B01F3A">
        <w:rPr>
          <w:lang w:val="en-US"/>
        </w:rPr>
        <w:t xml:space="preserve">options </w:t>
      </w:r>
      <w:r>
        <w:rPr>
          <w:lang w:val="en-US"/>
        </w:rPr>
        <w:t>expire simultaneously with the</w:t>
      </w:r>
      <w:r w:rsidR="00124848">
        <w:rPr>
          <w:lang w:val="en-US"/>
        </w:rPr>
        <w:t>ir</w:t>
      </w:r>
      <w:r w:rsidRPr="00DE4F2B">
        <w:rPr>
          <w:lang w:val="en-US"/>
        </w:rPr>
        <w:t xml:space="preserve"> underlying futures, </w:t>
      </w:r>
      <w:r>
        <w:rPr>
          <w:lang w:val="en-US"/>
        </w:rPr>
        <w:t xml:space="preserve">since </w:t>
      </w:r>
      <w:r w:rsidR="001F3725">
        <w:rPr>
          <w:lang w:val="en-US"/>
        </w:rPr>
        <w:t xml:space="preserve">currency </w:t>
      </w:r>
      <w:r>
        <w:rPr>
          <w:lang w:val="en-US"/>
        </w:rPr>
        <w:t xml:space="preserve">futures are </w:t>
      </w:r>
      <w:r w:rsidR="00B040FA">
        <w:rPr>
          <w:lang w:val="en-US"/>
        </w:rPr>
        <w:t xml:space="preserve">only </w:t>
      </w:r>
      <w:r>
        <w:rPr>
          <w:lang w:val="en-US"/>
        </w:rPr>
        <w:t>listed</w:t>
      </w:r>
      <w:r w:rsidR="00865B2C">
        <w:rPr>
          <w:lang w:val="en-US"/>
        </w:rPr>
        <w:t xml:space="preserve"> with </w:t>
      </w:r>
      <w:r w:rsidR="00B040FA">
        <w:rPr>
          <w:lang w:val="en-US"/>
        </w:rPr>
        <w:t xml:space="preserve">a </w:t>
      </w:r>
      <w:r w:rsidR="00865B2C">
        <w:rPr>
          <w:lang w:val="en-US"/>
        </w:rPr>
        <w:t>quarterly month</w:t>
      </w:r>
      <w:r w:rsidR="0010180B">
        <w:rPr>
          <w:lang w:val="en-US"/>
        </w:rPr>
        <w:t xml:space="preserve"> expiry</w:t>
      </w:r>
      <w:r w:rsidRPr="00DE4F2B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29F"/>
    <w:multiLevelType w:val="hybridMultilevel"/>
    <w:tmpl w:val="0B08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51BF"/>
    <w:multiLevelType w:val="hybridMultilevel"/>
    <w:tmpl w:val="4522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2BF"/>
    <w:multiLevelType w:val="hybridMultilevel"/>
    <w:tmpl w:val="E55A4EF4"/>
    <w:lvl w:ilvl="0" w:tplc="45203E00">
      <w:start w:val="9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E553DA1"/>
    <w:multiLevelType w:val="multilevel"/>
    <w:tmpl w:val="09D6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210CB"/>
    <w:multiLevelType w:val="multilevel"/>
    <w:tmpl w:val="ED8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20FDC"/>
    <w:multiLevelType w:val="hybridMultilevel"/>
    <w:tmpl w:val="36024724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310B2F15"/>
    <w:multiLevelType w:val="hybridMultilevel"/>
    <w:tmpl w:val="B8BEF902"/>
    <w:lvl w:ilvl="0" w:tplc="5C8A764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8BE013B"/>
    <w:multiLevelType w:val="hybridMultilevel"/>
    <w:tmpl w:val="56789B4E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79DEC1A6">
      <w:start w:val="1"/>
      <w:numFmt w:val="decimal"/>
      <w:lvlText w:val="%2."/>
      <w:lvlJc w:val="left"/>
      <w:pPr>
        <w:ind w:left="7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3C2D3C2C"/>
    <w:multiLevelType w:val="hybridMultilevel"/>
    <w:tmpl w:val="48E2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212DC"/>
    <w:multiLevelType w:val="hybridMultilevel"/>
    <w:tmpl w:val="6E3A30F0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599448AA"/>
    <w:multiLevelType w:val="hybridMultilevel"/>
    <w:tmpl w:val="CE36981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606A0A48"/>
    <w:multiLevelType w:val="hybridMultilevel"/>
    <w:tmpl w:val="DB4698BA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1451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64E31D18"/>
    <w:multiLevelType w:val="hybridMultilevel"/>
    <w:tmpl w:val="86284A9A"/>
    <w:lvl w:ilvl="0" w:tplc="7DDABB98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6924473B"/>
    <w:multiLevelType w:val="multilevel"/>
    <w:tmpl w:val="BBA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4101F"/>
    <w:multiLevelType w:val="hybridMultilevel"/>
    <w:tmpl w:val="5FA483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6B4E5918"/>
    <w:multiLevelType w:val="hybridMultilevel"/>
    <w:tmpl w:val="81426A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C584344"/>
    <w:multiLevelType w:val="hybridMultilevel"/>
    <w:tmpl w:val="CC06A92A"/>
    <w:lvl w:ilvl="0" w:tplc="1B3C4EFE">
      <w:start w:val="1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76137DDE"/>
    <w:multiLevelType w:val="hybridMultilevel"/>
    <w:tmpl w:val="F19EEBBE"/>
    <w:lvl w:ilvl="0" w:tplc="2D82188C">
      <w:start w:val="5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>
    <w:nsid w:val="7C006244"/>
    <w:multiLevelType w:val="hybridMultilevel"/>
    <w:tmpl w:val="4C466A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1"/>
  </w:num>
  <w:num w:numId="6">
    <w:abstractNumId w:val="10"/>
  </w:num>
  <w:num w:numId="7">
    <w:abstractNumId w:val="13"/>
  </w:num>
  <w:num w:numId="8">
    <w:abstractNumId w:val="17"/>
  </w:num>
  <w:num w:numId="9">
    <w:abstractNumId w:val="4"/>
  </w:num>
  <w:num w:numId="10">
    <w:abstractNumId w:val="18"/>
  </w:num>
  <w:num w:numId="11">
    <w:abstractNumId w:val="3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5"/>
  </w:num>
  <w:num w:numId="17">
    <w:abstractNumId w:val="0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92"/>
    <w:rsid w:val="00000E51"/>
    <w:rsid w:val="00001F14"/>
    <w:rsid w:val="000026D6"/>
    <w:rsid w:val="00003788"/>
    <w:rsid w:val="000072C7"/>
    <w:rsid w:val="00016D9E"/>
    <w:rsid w:val="00016FCF"/>
    <w:rsid w:val="000174E1"/>
    <w:rsid w:val="00017A49"/>
    <w:rsid w:val="000225FA"/>
    <w:rsid w:val="00022765"/>
    <w:rsid w:val="00023F01"/>
    <w:rsid w:val="00027282"/>
    <w:rsid w:val="0002740B"/>
    <w:rsid w:val="000278CA"/>
    <w:rsid w:val="000305C7"/>
    <w:rsid w:val="000330B9"/>
    <w:rsid w:val="00040CDB"/>
    <w:rsid w:val="000412C9"/>
    <w:rsid w:val="00041668"/>
    <w:rsid w:val="00043477"/>
    <w:rsid w:val="000445C4"/>
    <w:rsid w:val="000473CE"/>
    <w:rsid w:val="00047486"/>
    <w:rsid w:val="00047A84"/>
    <w:rsid w:val="00051980"/>
    <w:rsid w:val="00061DA3"/>
    <w:rsid w:val="00062717"/>
    <w:rsid w:val="00064BE0"/>
    <w:rsid w:val="00064FF3"/>
    <w:rsid w:val="0006725A"/>
    <w:rsid w:val="00077F0B"/>
    <w:rsid w:val="00080DC2"/>
    <w:rsid w:val="000812C8"/>
    <w:rsid w:val="00081A45"/>
    <w:rsid w:val="00086FEF"/>
    <w:rsid w:val="00091A03"/>
    <w:rsid w:val="00094CC3"/>
    <w:rsid w:val="000957BC"/>
    <w:rsid w:val="0009787F"/>
    <w:rsid w:val="000A2390"/>
    <w:rsid w:val="000A304B"/>
    <w:rsid w:val="000A3E58"/>
    <w:rsid w:val="000A4120"/>
    <w:rsid w:val="000B0FBF"/>
    <w:rsid w:val="000B3D41"/>
    <w:rsid w:val="000B473A"/>
    <w:rsid w:val="000C1C49"/>
    <w:rsid w:val="000C2145"/>
    <w:rsid w:val="000C4DAF"/>
    <w:rsid w:val="000D001C"/>
    <w:rsid w:val="000D0899"/>
    <w:rsid w:val="000D3CD5"/>
    <w:rsid w:val="000D42C8"/>
    <w:rsid w:val="000D7968"/>
    <w:rsid w:val="000E11E0"/>
    <w:rsid w:val="000E15AA"/>
    <w:rsid w:val="000E1E61"/>
    <w:rsid w:val="000E2308"/>
    <w:rsid w:val="000E3B83"/>
    <w:rsid w:val="000E3F71"/>
    <w:rsid w:val="000F1ED9"/>
    <w:rsid w:val="000F45AC"/>
    <w:rsid w:val="000F6CBC"/>
    <w:rsid w:val="000F7496"/>
    <w:rsid w:val="0010180B"/>
    <w:rsid w:val="001021CC"/>
    <w:rsid w:val="001136EE"/>
    <w:rsid w:val="001138BB"/>
    <w:rsid w:val="00121B09"/>
    <w:rsid w:val="001224D3"/>
    <w:rsid w:val="00124848"/>
    <w:rsid w:val="001249DC"/>
    <w:rsid w:val="00125018"/>
    <w:rsid w:val="001250C7"/>
    <w:rsid w:val="00126EA4"/>
    <w:rsid w:val="00130392"/>
    <w:rsid w:val="00131DBF"/>
    <w:rsid w:val="0013259A"/>
    <w:rsid w:val="00133FDA"/>
    <w:rsid w:val="001413C6"/>
    <w:rsid w:val="00141C61"/>
    <w:rsid w:val="00142E1B"/>
    <w:rsid w:val="001436A2"/>
    <w:rsid w:val="00143E62"/>
    <w:rsid w:val="00144AA9"/>
    <w:rsid w:val="00144CEE"/>
    <w:rsid w:val="00145213"/>
    <w:rsid w:val="00146936"/>
    <w:rsid w:val="00156368"/>
    <w:rsid w:val="00163E7B"/>
    <w:rsid w:val="0016415A"/>
    <w:rsid w:val="00164FE3"/>
    <w:rsid w:val="001653B0"/>
    <w:rsid w:val="00174C2B"/>
    <w:rsid w:val="00176CF3"/>
    <w:rsid w:val="00180D87"/>
    <w:rsid w:val="00180F80"/>
    <w:rsid w:val="0018182B"/>
    <w:rsid w:val="001827B6"/>
    <w:rsid w:val="001922D8"/>
    <w:rsid w:val="001966C2"/>
    <w:rsid w:val="0019691B"/>
    <w:rsid w:val="00197494"/>
    <w:rsid w:val="001A000F"/>
    <w:rsid w:val="001A087F"/>
    <w:rsid w:val="001A1D2A"/>
    <w:rsid w:val="001A534D"/>
    <w:rsid w:val="001A5D81"/>
    <w:rsid w:val="001A6F75"/>
    <w:rsid w:val="001C2C37"/>
    <w:rsid w:val="001C594A"/>
    <w:rsid w:val="001C78DC"/>
    <w:rsid w:val="001D0914"/>
    <w:rsid w:val="001D2AAF"/>
    <w:rsid w:val="001D2D63"/>
    <w:rsid w:val="001D3466"/>
    <w:rsid w:val="001D3C7A"/>
    <w:rsid w:val="001D46D2"/>
    <w:rsid w:val="001D4846"/>
    <w:rsid w:val="001D5281"/>
    <w:rsid w:val="001D75C9"/>
    <w:rsid w:val="001E3E3D"/>
    <w:rsid w:val="001E5761"/>
    <w:rsid w:val="001E59BF"/>
    <w:rsid w:val="001E7094"/>
    <w:rsid w:val="001E70C1"/>
    <w:rsid w:val="001E7B6D"/>
    <w:rsid w:val="001F363A"/>
    <w:rsid w:val="001F3725"/>
    <w:rsid w:val="001F4176"/>
    <w:rsid w:val="00202BD4"/>
    <w:rsid w:val="00204290"/>
    <w:rsid w:val="002048E4"/>
    <w:rsid w:val="00210909"/>
    <w:rsid w:val="00211458"/>
    <w:rsid w:val="00212E00"/>
    <w:rsid w:val="00216A7B"/>
    <w:rsid w:val="00217817"/>
    <w:rsid w:val="0022308B"/>
    <w:rsid w:val="0022437D"/>
    <w:rsid w:val="00225A1E"/>
    <w:rsid w:val="002269BF"/>
    <w:rsid w:val="00230186"/>
    <w:rsid w:val="00233FD7"/>
    <w:rsid w:val="0023541C"/>
    <w:rsid w:val="002373E0"/>
    <w:rsid w:val="00244E32"/>
    <w:rsid w:val="00244F4A"/>
    <w:rsid w:val="00244FE3"/>
    <w:rsid w:val="002459F2"/>
    <w:rsid w:val="00246A97"/>
    <w:rsid w:val="00246CEE"/>
    <w:rsid w:val="002502B2"/>
    <w:rsid w:val="00250662"/>
    <w:rsid w:val="00251482"/>
    <w:rsid w:val="002520D0"/>
    <w:rsid w:val="00253AA6"/>
    <w:rsid w:val="0025407B"/>
    <w:rsid w:val="002541C7"/>
    <w:rsid w:val="0025594D"/>
    <w:rsid w:val="0025720C"/>
    <w:rsid w:val="002611DF"/>
    <w:rsid w:val="00261B6B"/>
    <w:rsid w:val="002628CD"/>
    <w:rsid w:val="002645D4"/>
    <w:rsid w:val="0026730B"/>
    <w:rsid w:val="00270166"/>
    <w:rsid w:val="00271757"/>
    <w:rsid w:val="00275973"/>
    <w:rsid w:val="002768B7"/>
    <w:rsid w:val="00276F17"/>
    <w:rsid w:val="00281CCA"/>
    <w:rsid w:val="002856EC"/>
    <w:rsid w:val="00290C72"/>
    <w:rsid w:val="00294880"/>
    <w:rsid w:val="00296B60"/>
    <w:rsid w:val="002A14B4"/>
    <w:rsid w:val="002A296E"/>
    <w:rsid w:val="002A476E"/>
    <w:rsid w:val="002A7B1E"/>
    <w:rsid w:val="002A7F3B"/>
    <w:rsid w:val="002B3608"/>
    <w:rsid w:val="002B76C8"/>
    <w:rsid w:val="002C194A"/>
    <w:rsid w:val="002C7322"/>
    <w:rsid w:val="002D205B"/>
    <w:rsid w:val="002D2B6C"/>
    <w:rsid w:val="002D37B1"/>
    <w:rsid w:val="002E1B98"/>
    <w:rsid w:val="002E1DB7"/>
    <w:rsid w:val="002E1FBB"/>
    <w:rsid w:val="002E24C5"/>
    <w:rsid w:val="002E295C"/>
    <w:rsid w:val="002E50C9"/>
    <w:rsid w:val="002E5320"/>
    <w:rsid w:val="002E7344"/>
    <w:rsid w:val="002E778B"/>
    <w:rsid w:val="002F017A"/>
    <w:rsid w:val="002F0541"/>
    <w:rsid w:val="002F13FB"/>
    <w:rsid w:val="002F22B8"/>
    <w:rsid w:val="002F26F4"/>
    <w:rsid w:val="002F2A5E"/>
    <w:rsid w:val="002F3E16"/>
    <w:rsid w:val="002F5591"/>
    <w:rsid w:val="002F7402"/>
    <w:rsid w:val="0030147A"/>
    <w:rsid w:val="0030438D"/>
    <w:rsid w:val="003045D2"/>
    <w:rsid w:val="00313CA7"/>
    <w:rsid w:val="0031473E"/>
    <w:rsid w:val="00317830"/>
    <w:rsid w:val="0032443C"/>
    <w:rsid w:val="00324451"/>
    <w:rsid w:val="00331D8E"/>
    <w:rsid w:val="00333842"/>
    <w:rsid w:val="0033603A"/>
    <w:rsid w:val="003402E4"/>
    <w:rsid w:val="00345142"/>
    <w:rsid w:val="003456B1"/>
    <w:rsid w:val="003465A8"/>
    <w:rsid w:val="003467C2"/>
    <w:rsid w:val="00347980"/>
    <w:rsid w:val="00350A57"/>
    <w:rsid w:val="00351400"/>
    <w:rsid w:val="00354428"/>
    <w:rsid w:val="003616E0"/>
    <w:rsid w:val="00363591"/>
    <w:rsid w:val="003649E6"/>
    <w:rsid w:val="00366AE5"/>
    <w:rsid w:val="00370DD3"/>
    <w:rsid w:val="0037571A"/>
    <w:rsid w:val="003759F3"/>
    <w:rsid w:val="00380497"/>
    <w:rsid w:val="00384EC0"/>
    <w:rsid w:val="003858A6"/>
    <w:rsid w:val="00390A03"/>
    <w:rsid w:val="00391884"/>
    <w:rsid w:val="00392C3E"/>
    <w:rsid w:val="00395A9F"/>
    <w:rsid w:val="00396872"/>
    <w:rsid w:val="00397570"/>
    <w:rsid w:val="003A7D87"/>
    <w:rsid w:val="003A7E40"/>
    <w:rsid w:val="003B316D"/>
    <w:rsid w:val="003C2781"/>
    <w:rsid w:val="003C4981"/>
    <w:rsid w:val="003C5682"/>
    <w:rsid w:val="003C57D6"/>
    <w:rsid w:val="003C735C"/>
    <w:rsid w:val="003D0140"/>
    <w:rsid w:val="003D6E5B"/>
    <w:rsid w:val="003D7134"/>
    <w:rsid w:val="003E3B01"/>
    <w:rsid w:val="003E3C8B"/>
    <w:rsid w:val="003E5D8C"/>
    <w:rsid w:val="003F164A"/>
    <w:rsid w:val="003F2E4C"/>
    <w:rsid w:val="003F670F"/>
    <w:rsid w:val="004000D7"/>
    <w:rsid w:val="00400A36"/>
    <w:rsid w:val="00412DBD"/>
    <w:rsid w:val="00414466"/>
    <w:rsid w:val="0041517F"/>
    <w:rsid w:val="0042258F"/>
    <w:rsid w:val="00423E7E"/>
    <w:rsid w:val="004260CB"/>
    <w:rsid w:val="004276EA"/>
    <w:rsid w:val="00430070"/>
    <w:rsid w:val="00432364"/>
    <w:rsid w:val="004343D8"/>
    <w:rsid w:val="00436C1C"/>
    <w:rsid w:val="00441F9D"/>
    <w:rsid w:val="00445572"/>
    <w:rsid w:val="00445A1C"/>
    <w:rsid w:val="00451928"/>
    <w:rsid w:val="004537C1"/>
    <w:rsid w:val="0045390B"/>
    <w:rsid w:val="00453A9C"/>
    <w:rsid w:val="00454D77"/>
    <w:rsid w:val="00454DE5"/>
    <w:rsid w:val="00456C85"/>
    <w:rsid w:val="00461EFE"/>
    <w:rsid w:val="00462840"/>
    <w:rsid w:val="00464675"/>
    <w:rsid w:val="00464C26"/>
    <w:rsid w:val="00466F20"/>
    <w:rsid w:val="00470DBF"/>
    <w:rsid w:val="004719BC"/>
    <w:rsid w:val="0047290A"/>
    <w:rsid w:val="00475125"/>
    <w:rsid w:val="004819AA"/>
    <w:rsid w:val="004828AA"/>
    <w:rsid w:val="004828C5"/>
    <w:rsid w:val="004834B9"/>
    <w:rsid w:val="0048373E"/>
    <w:rsid w:val="0048617A"/>
    <w:rsid w:val="00492173"/>
    <w:rsid w:val="004975CD"/>
    <w:rsid w:val="004A1ACA"/>
    <w:rsid w:val="004A216F"/>
    <w:rsid w:val="004A2753"/>
    <w:rsid w:val="004A3911"/>
    <w:rsid w:val="004A7AF5"/>
    <w:rsid w:val="004B11A8"/>
    <w:rsid w:val="004B3F0C"/>
    <w:rsid w:val="004B5132"/>
    <w:rsid w:val="004B6CF4"/>
    <w:rsid w:val="004C135B"/>
    <w:rsid w:val="004C19F5"/>
    <w:rsid w:val="004C1B5A"/>
    <w:rsid w:val="004C1C28"/>
    <w:rsid w:val="004C1D39"/>
    <w:rsid w:val="004C4E19"/>
    <w:rsid w:val="004D080B"/>
    <w:rsid w:val="004D187E"/>
    <w:rsid w:val="004D296B"/>
    <w:rsid w:val="004D2B6B"/>
    <w:rsid w:val="004E02DB"/>
    <w:rsid w:val="004E5798"/>
    <w:rsid w:val="004F2814"/>
    <w:rsid w:val="004F31F0"/>
    <w:rsid w:val="004F419E"/>
    <w:rsid w:val="004F554F"/>
    <w:rsid w:val="004F5577"/>
    <w:rsid w:val="004F66EE"/>
    <w:rsid w:val="00502759"/>
    <w:rsid w:val="00503641"/>
    <w:rsid w:val="00504035"/>
    <w:rsid w:val="005040B8"/>
    <w:rsid w:val="00512B5D"/>
    <w:rsid w:val="00514206"/>
    <w:rsid w:val="00514A8A"/>
    <w:rsid w:val="00515D48"/>
    <w:rsid w:val="005165B5"/>
    <w:rsid w:val="00522068"/>
    <w:rsid w:val="00522A66"/>
    <w:rsid w:val="00525B9A"/>
    <w:rsid w:val="0052644F"/>
    <w:rsid w:val="0052729D"/>
    <w:rsid w:val="00527A71"/>
    <w:rsid w:val="0053130C"/>
    <w:rsid w:val="00531E7F"/>
    <w:rsid w:val="00534274"/>
    <w:rsid w:val="00534FEC"/>
    <w:rsid w:val="00535291"/>
    <w:rsid w:val="00540BFB"/>
    <w:rsid w:val="0054132A"/>
    <w:rsid w:val="0054157C"/>
    <w:rsid w:val="00541BF9"/>
    <w:rsid w:val="00543F46"/>
    <w:rsid w:val="0054647B"/>
    <w:rsid w:val="005501B4"/>
    <w:rsid w:val="00555616"/>
    <w:rsid w:val="00556314"/>
    <w:rsid w:val="00560CD4"/>
    <w:rsid w:val="005642EC"/>
    <w:rsid w:val="0056510D"/>
    <w:rsid w:val="00573097"/>
    <w:rsid w:val="00573BD4"/>
    <w:rsid w:val="005743F0"/>
    <w:rsid w:val="00576165"/>
    <w:rsid w:val="005813CF"/>
    <w:rsid w:val="00587099"/>
    <w:rsid w:val="00590FCC"/>
    <w:rsid w:val="005910DC"/>
    <w:rsid w:val="00591E9F"/>
    <w:rsid w:val="0059312A"/>
    <w:rsid w:val="00594E6C"/>
    <w:rsid w:val="00595064"/>
    <w:rsid w:val="00596F0C"/>
    <w:rsid w:val="0059772E"/>
    <w:rsid w:val="005A070A"/>
    <w:rsid w:val="005A086E"/>
    <w:rsid w:val="005A0884"/>
    <w:rsid w:val="005A0C80"/>
    <w:rsid w:val="005A2D76"/>
    <w:rsid w:val="005B1812"/>
    <w:rsid w:val="005B4BF2"/>
    <w:rsid w:val="005C2691"/>
    <w:rsid w:val="005C3427"/>
    <w:rsid w:val="005C72A1"/>
    <w:rsid w:val="005D4653"/>
    <w:rsid w:val="005D5F3E"/>
    <w:rsid w:val="005D77C4"/>
    <w:rsid w:val="005E085E"/>
    <w:rsid w:val="005E2005"/>
    <w:rsid w:val="005E23DF"/>
    <w:rsid w:val="005E2BB9"/>
    <w:rsid w:val="005F0DF0"/>
    <w:rsid w:val="005F3440"/>
    <w:rsid w:val="005F4360"/>
    <w:rsid w:val="005F6559"/>
    <w:rsid w:val="005F6E52"/>
    <w:rsid w:val="00600772"/>
    <w:rsid w:val="00601DF0"/>
    <w:rsid w:val="006029A1"/>
    <w:rsid w:val="00602FFE"/>
    <w:rsid w:val="00604844"/>
    <w:rsid w:val="00606200"/>
    <w:rsid w:val="00611428"/>
    <w:rsid w:val="006119AD"/>
    <w:rsid w:val="00612A82"/>
    <w:rsid w:val="00617691"/>
    <w:rsid w:val="00617DC4"/>
    <w:rsid w:val="006269FB"/>
    <w:rsid w:val="00630D85"/>
    <w:rsid w:val="00631813"/>
    <w:rsid w:val="00633901"/>
    <w:rsid w:val="00635D33"/>
    <w:rsid w:val="006363A5"/>
    <w:rsid w:val="006376AD"/>
    <w:rsid w:val="0064085A"/>
    <w:rsid w:val="00643209"/>
    <w:rsid w:val="00643511"/>
    <w:rsid w:val="00644EC5"/>
    <w:rsid w:val="0065000D"/>
    <w:rsid w:val="00650104"/>
    <w:rsid w:val="00652FF3"/>
    <w:rsid w:val="006530B4"/>
    <w:rsid w:val="0065365A"/>
    <w:rsid w:val="00655B55"/>
    <w:rsid w:val="0065700B"/>
    <w:rsid w:val="006619D4"/>
    <w:rsid w:val="0066413F"/>
    <w:rsid w:val="00672DBF"/>
    <w:rsid w:val="00673315"/>
    <w:rsid w:val="00676413"/>
    <w:rsid w:val="00676514"/>
    <w:rsid w:val="00683C8E"/>
    <w:rsid w:val="00686C98"/>
    <w:rsid w:val="00690579"/>
    <w:rsid w:val="00691A8D"/>
    <w:rsid w:val="00693222"/>
    <w:rsid w:val="00694124"/>
    <w:rsid w:val="006A1122"/>
    <w:rsid w:val="006A2198"/>
    <w:rsid w:val="006A2A67"/>
    <w:rsid w:val="006B4E73"/>
    <w:rsid w:val="006B5480"/>
    <w:rsid w:val="006C4173"/>
    <w:rsid w:val="006C4190"/>
    <w:rsid w:val="006C5BE0"/>
    <w:rsid w:val="006C6426"/>
    <w:rsid w:val="006D28B2"/>
    <w:rsid w:val="006D50A6"/>
    <w:rsid w:val="006D60FF"/>
    <w:rsid w:val="006E0E36"/>
    <w:rsid w:val="006E3E6F"/>
    <w:rsid w:val="006E451E"/>
    <w:rsid w:val="006E784A"/>
    <w:rsid w:val="006F74D0"/>
    <w:rsid w:val="006F76EF"/>
    <w:rsid w:val="0070432B"/>
    <w:rsid w:val="007054FF"/>
    <w:rsid w:val="007078D7"/>
    <w:rsid w:val="00717441"/>
    <w:rsid w:val="00717997"/>
    <w:rsid w:val="00721188"/>
    <w:rsid w:val="00722732"/>
    <w:rsid w:val="007248B5"/>
    <w:rsid w:val="00727D6B"/>
    <w:rsid w:val="007304F1"/>
    <w:rsid w:val="00731944"/>
    <w:rsid w:val="00741E29"/>
    <w:rsid w:val="00744C05"/>
    <w:rsid w:val="00744FF1"/>
    <w:rsid w:val="00752A1D"/>
    <w:rsid w:val="007558B9"/>
    <w:rsid w:val="00760FF8"/>
    <w:rsid w:val="00763876"/>
    <w:rsid w:val="00763C5C"/>
    <w:rsid w:val="00765863"/>
    <w:rsid w:val="00766818"/>
    <w:rsid w:val="0077683D"/>
    <w:rsid w:val="007814F4"/>
    <w:rsid w:val="007901AB"/>
    <w:rsid w:val="00790720"/>
    <w:rsid w:val="007915AE"/>
    <w:rsid w:val="00791D44"/>
    <w:rsid w:val="0079200F"/>
    <w:rsid w:val="00792884"/>
    <w:rsid w:val="00794B25"/>
    <w:rsid w:val="00797DE0"/>
    <w:rsid w:val="007A03DF"/>
    <w:rsid w:val="007A42EA"/>
    <w:rsid w:val="007B520B"/>
    <w:rsid w:val="007B5759"/>
    <w:rsid w:val="007B5968"/>
    <w:rsid w:val="007C1E2D"/>
    <w:rsid w:val="007C5453"/>
    <w:rsid w:val="007C62B2"/>
    <w:rsid w:val="007D16E2"/>
    <w:rsid w:val="007D21A4"/>
    <w:rsid w:val="007D6065"/>
    <w:rsid w:val="007D732F"/>
    <w:rsid w:val="007E0ABE"/>
    <w:rsid w:val="007E0C9C"/>
    <w:rsid w:val="007E3B4D"/>
    <w:rsid w:val="007E5798"/>
    <w:rsid w:val="007E706F"/>
    <w:rsid w:val="007F01A3"/>
    <w:rsid w:val="007F110E"/>
    <w:rsid w:val="007F4429"/>
    <w:rsid w:val="007F6833"/>
    <w:rsid w:val="007F6FE1"/>
    <w:rsid w:val="007F7A9F"/>
    <w:rsid w:val="00800717"/>
    <w:rsid w:val="0080136B"/>
    <w:rsid w:val="008027C8"/>
    <w:rsid w:val="008053FC"/>
    <w:rsid w:val="00807FCA"/>
    <w:rsid w:val="008111B5"/>
    <w:rsid w:val="00814784"/>
    <w:rsid w:val="00816654"/>
    <w:rsid w:val="00816DEC"/>
    <w:rsid w:val="00825F46"/>
    <w:rsid w:val="0083456C"/>
    <w:rsid w:val="00834702"/>
    <w:rsid w:val="00836213"/>
    <w:rsid w:val="008367F4"/>
    <w:rsid w:val="00842997"/>
    <w:rsid w:val="00843E9F"/>
    <w:rsid w:val="00850000"/>
    <w:rsid w:val="00850AE4"/>
    <w:rsid w:val="008517C7"/>
    <w:rsid w:val="00852A39"/>
    <w:rsid w:val="00852EDE"/>
    <w:rsid w:val="0085445B"/>
    <w:rsid w:val="00855600"/>
    <w:rsid w:val="00863CD5"/>
    <w:rsid w:val="00865963"/>
    <w:rsid w:val="00865B2C"/>
    <w:rsid w:val="00865D57"/>
    <w:rsid w:val="0086648D"/>
    <w:rsid w:val="00867D89"/>
    <w:rsid w:val="00871095"/>
    <w:rsid w:val="00873A68"/>
    <w:rsid w:val="0088006A"/>
    <w:rsid w:val="008829C1"/>
    <w:rsid w:val="00884A07"/>
    <w:rsid w:val="00885A22"/>
    <w:rsid w:val="008872CC"/>
    <w:rsid w:val="008874D6"/>
    <w:rsid w:val="008876FA"/>
    <w:rsid w:val="00890A82"/>
    <w:rsid w:val="00893D7F"/>
    <w:rsid w:val="00894671"/>
    <w:rsid w:val="008948D6"/>
    <w:rsid w:val="00897449"/>
    <w:rsid w:val="00897768"/>
    <w:rsid w:val="00897A46"/>
    <w:rsid w:val="008A0604"/>
    <w:rsid w:val="008A498C"/>
    <w:rsid w:val="008A746D"/>
    <w:rsid w:val="008B1FFB"/>
    <w:rsid w:val="008B3AB5"/>
    <w:rsid w:val="008B43E7"/>
    <w:rsid w:val="008B66A3"/>
    <w:rsid w:val="008B6AC2"/>
    <w:rsid w:val="008B7CE6"/>
    <w:rsid w:val="008C13F5"/>
    <w:rsid w:val="008C21C6"/>
    <w:rsid w:val="008C65D7"/>
    <w:rsid w:val="008C796F"/>
    <w:rsid w:val="008D4E76"/>
    <w:rsid w:val="008D648E"/>
    <w:rsid w:val="008D7CF6"/>
    <w:rsid w:val="008E16A6"/>
    <w:rsid w:val="008E217E"/>
    <w:rsid w:val="008F062F"/>
    <w:rsid w:val="008F06A1"/>
    <w:rsid w:val="008F1125"/>
    <w:rsid w:val="008F4D5A"/>
    <w:rsid w:val="008F5074"/>
    <w:rsid w:val="008F5B69"/>
    <w:rsid w:val="008F6781"/>
    <w:rsid w:val="00901569"/>
    <w:rsid w:val="00901B01"/>
    <w:rsid w:val="00903944"/>
    <w:rsid w:val="00903CA8"/>
    <w:rsid w:val="00904491"/>
    <w:rsid w:val="009046B7"/>
    <w:rsid w:val="00904E7A"/>
    <w:rsid w:val="00906132"/>
    <w:rsid w:val="0090650A"/>
    <w:rsid w:val="00906F47"/>
    <w:rsid w:val="00913377"/>
    <w:rsid w:val="00913D63"/>
    <w:rsid w:val="0091688B"/>
    <w:rsid w:val="00921524"/>
    <w:rsid w:val="0092177B"/>
    <w:rsid w:val="00921B10"/>
    <w:rsid w:val="00926EE1"/>
    <w:rsid w:val="0093081D"/>
    <w:rsid w:val="00933F7E"/>
    <w:rsid w:val="009379AE"/>
    <w:rsid w:val="00940668"/>
    <w:rsid w:val="009452D4"/>
    <w:rsid w:val="00952A3A"/>
    <w:rsid w:val="00954054"/>
    <w:rsid w:val="00954A20"/>
    <w:rsid w:val="009558DA"/>
    <w:rsid w:val="00961003"/>
    <w:rsid w:val="00961F8B"/>
    <w:rsid w:val="009632E0"/>
    <w:rsid w:val="00967FC0"/>
    <w:rsid w:val="00972666"/>
    <w:rsid w:val="00974978"/>
    <w:rsid w:val="00976604"/>
    <w:rsid w:val="00982382"/>
    <w:rsid w:val="009827A2"/>
    <w:rsid w:val="00983B3D"/>
    <w:rsid w:val="00983D5E"/>
    <w:rsid w:val="00985009"/>
    <w:rsid w:val="0098625D"/>
    <w:rsid w:val="009973AC"/>
    <w:rsid w:val="009A0055"/>
    <w:rsid w:val="009A2576"/>
    <w:rsid w:val="009A33C8"/>
    <w:rsid w:val="009A399F"/>
    <w:rsid w:val="009A45CC"/>
    <w:rsid w:val="009A5184"/>
    <w:rsid w:val="009A66A3"/>
    <w:rsid w:val="009B02A9"/>
    <w:rsid w:val="009B159F"/>
    <w:rsid w:val="009B2CAC"/>
    <w:rsid w:val="009B2EBD"/>
    <w:rsid w:val="009B3BBA"/>
    <w:rsid w:val="009B4EAD"/>
    <w:rsid w:val="009B5D1E"/>
    <w:rsid w:val="009B6025"/>
    <w:rsid w:val="009C2761"/>
    <w:rsid w:val="009C3328"/>
    <w:rsid w:val="009C5029"/>
    <w:rsid w:val="009C64C5"/>
    <w:rsid w:val="009D1173"/>
    <w:rsid w:val="009D42BA"/>
    <w:rsid w:val="009D4533"/>
    <w:rsid w:val="009D46AA"/>
    <w:rsid w:val="009D55B6"/>
    <w:rsid w:val="009D6F4E"/>
    <w:rsid w:val="009E1099"/>
    <w:rsid w:val="009E3265"/>
    <w:rsid w:val="009E4953"/>
    <w:rsid w:val="009F017D"/>
    <w:rsid w:val="009F63B5"/>
    <w:rsid w:val="009F73CD"/>
    <w:rsid w:val="00A04534"/>
    <w:rsid w:val="00A057AA"/>
    <w:rsid w:val="00A110DA"/>
    <w:rsid w:val="00A14F5B"/>
    <w:rsid w:val="00A1529F"/>
    <w:rsid w:val="00A15CD5"/>
    <w:rsid w:val="00A17085"/>
    <w:rsid w:val="00A20EF6"/>
    <w:rsid w:val="00A23FAD"/>
    <w:rsid w:val="00A32C40"/>
    <w:rsid w:val="00A33112"/>
    <w:rsid w:val="00A33DC5"/>
    <w:rsid w:val="00A356FE"/>
    <w:rsid w:val="00A401AA"/>
    <w:rsid w:val="00A40CA0"/>
    <w:rsid w:val="00A41295"/>
    <w:rsid w:val="00A42671"/>
    <w:rsid w:val="00A515B0"/>
    <w:rsid w:val="00A5344B"/>
    <w:rsid w:val="00A56CB3"/>
    <w:rsid w:val="00A61546"/>
    <w:rsid w:val="00A64830"/>
    <w:rsid w:val="00A72189"/>
    <w:rsid w:val="00A7579D"/>
    <w:rsid w:val="00A76A13"/>
    <w:rsid w:val="00A80A63"/>
    <w:rsid w:val="00A80F5B"/>
    <w:rsid w:val="00A8157E"/>
    <w:rsid w:val="00A86F5A"/>
    <w:rsid w:val="00A87D14"/>
    <w:rsid w:val="00A92B7F"/>
    <w:rsid w:val="00A9664E"/>
    <w:rsid w:val="00AA2B9F"/>
    <w:rsid w:val="00AA509F"/>
    <w:rsid w:val="00AA63D0"/>
    <w:rsid w:val="00AA7C00"/>
    <w:rsid w:val="00AB4F3F"/>
    <w:rsid w:val="00AB5F24"/>
    <w:rsid w:val="00AB6631"/>
    <w:rsid w:val="00AC0173"/>
    <w:rsid w:val="00AC1C6D"/>
    <w:rsid w:val="00AC3535"/>
    <w:rsid w:val="00AC553C"/>
    <w:rsid w:val="00AC6015"/>
    <w:rsid w:val="00AD017C"/>
    <w:rsid w:val="00AD14BD"/>
    <w:rsid w:val="00AD1A83"/>
    <w:rsid w:val="00AD1B06"/>
    <w:rsid w:val="00AD49D8"/>
    <w:rsid w:val="00AD5E94"/>
    <w:rsid w:val="00AD61EC"/>
    <w:rsid w:val="00AD661A"/>
    <w:rsid w:val="00AE0494"/>
    <w:rsid w:val="00AE248C"/>
    <w:rsid w:val="00AE77FB"/>
    <w:rsid w:val="00AF1048"/>
    <w:rsid w:val="00AF2AFD"/>
    <w:rsid w:val="00AF44E7"/>
    <w:rsid w:val="00B01F3A"/>
    <w:rsid w:val="00B040FA"/>
    <w:rsid w:val="00B0709B"/>
    <w:rsid w:val="00B07285"/>
    <w:rsid w:val="00B07D5C"/>
    <w:rsid w:val="00B10406"/>
    <w:rsid w:val="00B10EC1"/>
    <w:rsid w:val="00B11B72"/>
    <w:rsid w:val="00B13470"/>
    <w:rsid w:val="00B169B4"/>
    <w:rsid w:val="00B17E91"/>
    <w:rsid w:val="00B2294D"/>
    <w:rsid w:val="00B2676F"/>
    <w:rsid w:val="00B271EC"/>
    <w:rsid w:val="00B2754D"/>
    <w:rsid w:val="00B3051C"/>
    <w:rsid w:val="00B31A13"/>
    <w:rsid w:val="00B330FE"/>
    <w:rsid w:val="00B33392"/>
    <w:rsid w:val="00B342E7"/>
    <w:rsid w:val="00B36479"/>
    <w:rsid w:val="00B43183"/>
    <w:rsid w:val="00B46116"/>
    <w:rsid w:val="00B5113D"/>
    <w:rsid w:val="00B5156D"/>
    <w:rsid w:val="00B541D5"/>
    <w:rsid w:val="00B547A4"/>
    <w:rsid w:val="00B54C70"/>
    <w:rsid w:val="00B54FE7"/>
    <w:rsid w:val="00B55841"/>
    <w:rsid w:val="00B56185"/>
    <w:rsid w:val="00B5654A"/>
    <w:rsid w:val="00B60EBA"/>
    <w:rsid w:val="00B6119C"/>
    <w:rsid w:val="00B6374B"/>
    <w:rsid w:val="00B66817"/>
    <w:rsid w:val="00B67C48"/>
    <w:rsid w:val="00B725DB"/>
    <w:rsid w:val="00B734A5"/>
    <w:rsid w:val="00B73BC0"/>
    <w:rsid w:val="00B73E27"/>
    <w:rsid w:val="00B745ED"/>
    <w:rsid w:val="00B753AF"/>
    <w:rsid w:val="00B75ED3"/>
    <w:rsid w:val="00B76862"/>
    <w:rsid w:val="00B829D4"/>
    <w:rsid w:val="00B82AA8"/>
    <w:rsid w:val="00B8402D"/>
    <w:rsid w:val="00B8462A"/>
    <w:rsid w:val="00B86B6A"/>
    <w:rsid w:val="00B86DB9"/>
    <w:rsid w:val="00B90182"/>
    <w:rsid w:val="00B90E5C"/>
    <w:rsid w:val="00B91606"/>
    <w:rsid w:val="00B91B2E"/>
    <w:rsid w:val="00B93AB5"/>
    <w:rsid w:val="00B949E4"/>
    <w:rsid w:val="00B96F9D"/>
    <w:rsid w:val="00B9783A"/>
    <w:rsid w:val="00BA0222"/>
    <w:rsid w:val="00BA14F5"/>
    <w:rsid w:val="00BA3523"/>
    <w:rsid w:val="00BA4109"/>
    <w:rsid w:val="00BA6E17"/>
    <w:rsid w:val="00BB013F"/>
    <w:rsid w:val="00BB0A0E"/>
    <w:rsid w:val="00BB35F6"/>
    <w:rsid w:val="00BB3A08"/>
    <w:rsid w:val="00BB7051"/>
    <w:rsid w:val="00BC4D65"/>
    <w:rsid w:val="00BD05B9"/>
    <w:rsid w:val="00BD4D4C"/>
    <w:rsid w:val="00BD6ED9"/>
    <w:rsid w:val="00BE06A5"/>
    <w:rsid w:val="00BE33EC"/>
    <w:rsid w:val="00BE40A6"/>
    <w:rsid w:val="00BE4E7C"/>
    <w:rsid w:val="00BE54FF"/>
    <w:rsid w:val="00BF0AC7"/>
    <w:rsid w:val="00BF2C81"/>
    <w:rsid w:val="00BF7AFD"/>
    <w:rsid w:val="00C044E6"/>
    <w:rsid w:val="00C04EB0"/>
    <w:rsid w:val="00C0728E"/>
    <w:rsid w:val="00C15326"/>
    <w:rsid w:val="00C201DE"/>
    <w:rsid w:val="00C22024"/>
    <w:rsid w:val="00C23191"/>
    <w:rsid w:val="00C24B1E"/>
    <w:rsid w:val="00C26571"/>
    <w:rsid w:val="00C30ED8"/>
    <w:rsid w:val="00C34B7D"/>
    <w:rsid w:val="00C34C91"/>
    <w:rsid w:val="00C36B5A"/>
    <w:rsid w:val="00C37B56"/>
    <w:rsid w:val="00C40212"/>
    <w:rsid w:val="00C40738"/>
    <w:rsid w:val="00C41524"/>
    <w:rsid w:val="00C41FE2"/>
    <w:rsid w:val="00C42F87"/>
    <w:rsid w:val="00C436B4"/>
    <w:rsid w:val="00C54522"/>
    <w:rsid w:val="00C56444"/>
    <w:rsid w:val="00C572B6"/>
    <w:rsid w:val="00C611AE"/>
    <w:rsid w:val="00C61EBE"/>
    <w:rsid w:val="00C624E2"/>
    <w:rsid w:val="00C67B2E"/>
    <w:rsid w:val="00C70D63"/>
    <w:rsid w:val="00C71D4D"/>
    <w:rsid w:val="00C73937"/>
    <w:rsid w:val="00C742D3"/>
    <w:rsid w:val="00C76BA2"/>
    <w:rsid w:val="00C77859"/>
    <w:rsid w:val="00C84A72"/>
    <w:rsid w:val="00C86B2F"/>
    <w:rsid w:val="00C87D22"/>
    <w:rsid w:val="00C9609F"/>
    <w:rsid w:val="00C96ACF"/>
    <w:rsid w:val="00CA058A"/>
    <w:rsid w:val="00CA07F9"/>
    <w:rsid w:val="00CA1EAB"/>
    <w:rsid w:val="00CA3E29"/>
    <w:rsid w:val="00CA4991"/>
    <w:rsid w:val="00CA5FDE"/>
    <w:rsid w:val="00CA7192"/>
    <w:rsid w:val="00CB2B48"/>
    <w:rsid w:val="00CB4C05"/>
    <w:rsid w:val="00CB4CFC"/>
    <w:rsid w:val="00CB70B8"/>
    <w:rsid w:val="00CC1ABC"/>
    <w:rsid w:val="00CC2651"/>
    <w:rsid w:val="00CC484F"/>
    <w:rsid w:val="00CD1ECB"/>
    <w:rsid w:val="00CD2175"/>
    <w:rsid w:val="00CD405F"/>
    <w:rsid w:val="00CD4131"/>
    <w:rsid w:val="00CD6453"/>
    <w:rsid w:val="00CD7860"/>
    <w:rsid w:val="00CE0A0D"/>
    <w:rsid w:val="00CE14C5"/>
    <w:rsid w:val="00CE4C52"/>
    <w:rsid w:val="00CE4F19"/>
    <w:rsid w:val="00CF2C5F"/>
    <w:rsid w:val="00CF6BF5"/>
    <w:rsid w:val="00CF75D5"/>
    <w:rsid w:val="00D00432"/>
    <w:rsid w:val="00D004E9"/>
    <w:rsid w:val="00D01AD4"/>
    <w:rsid w:val="00D04064"/>
    <w:rsid w:val="00D06F51"/>
    <w:rsid w:val="00D0750A"/>
    <w:rsid w:val="00D109BE"/>
    <w:rsid w:val="00D11A0A"/>
    <w:rsid w:val="00D11A22"/>
    <w:rsid w:val="00D12C8E"/>
    <w:rsid w:val="00D15A14"/>
    <w:rsid w:val="00D173C3"/>
    <w:rsid w:val="00D17BCF"/>
    <w:rsid w:val="00D21F73"/>
    <w:rsid w:val="00D23D1D"/>
    <w:rsid w:val="00D266E6"/>
    <w:rsid w:val="00D30E92"/>
    <w:rsid w:val="00D36C7D"/>
    <w:rsid w:val="00D37A24"/>
    <w:rsid w:val="00D406BD"/>
    <w:rsid w:val="00D46D73"/>
    <w:rsid w:val="00D50DC7"/>
    <w:rsid w:val="00D5146F"/>
    <w:rsid w:val="00D51A45"/>
    <w:rsid w:val="00D520C8"/>
    <w:rsid w:val="00D52873"/>
    <w:rsid w:val="00D52E92"/>
    <w:rsid w:val="00D5573D"/>
    <w:rsid w:val="00D55E08"/>
    <w:rsid w:val="00D570E6"/>
    <w:rsid w:val="00D5794A"/>
    <w:rsid w:val="00D57B9F"/>
    <w:rsid w:val="00D638E1"/>
    <w:rsid w:val="00D6766F"/>
    <w:rsid w:val="00D71238"/>
    <w:rsid w:val="00D72FC0"/>
    <w:rsid w:val="00D74832"/>
    <w:rsid w:val="00D77074"/>
    <w:rsid w:val="00D8196F"/>
    <w:rsid w:val="00D835CE"/>
    <w:rsid w:val="00D841B2"/>
    <w:rsid w:val="00D85CA8"/>
    <w:rsid w:val="00D870DB"/>
    <w:rsid w:val="00D95236"/>
    <w:rsid w:val="00DA16AD"/>
    <w:rsid w:val="00DA4E21"/>
    <w:rsid w:val="00DA70BA"/>
    <w:rsid w:val="00DB1F1E"/>
    <w:rsid w:val="00DB249B"/>
    <w:rsid w:val="00DB3C6A"/>
    <w:rsid w:val="00DB42F4"/>
    <w:rsid w:val="00DB7F75"/>
    <w:rsid w:val="00DC023A"/>
    <w:rsid w:val="00DC15A1"/>
    <w:rsid w:val="00DC5688"/>
    <w:rsid w:val="00DC63A9"/>
    <w:rsid w:val="00DC71B2"/>
    <w:rsid w:val="00DC7FB4"/>
    <w:rsid w:val="00DD11B6"/>
    <w:rsid w:val="00DD4200"/>
    <w:rsid w:val="00DD5BF6"/>
    <w:rsid w:val="00DE1A06"/>
    <w:rsid w:val="00DE423F"/>
    <w:rsid w:val="00DE4F2B"/>
    <w:rsid w:val="00DE6399"/>
    <w:rsid w:val="00DF0FEC"/>
    <w:rsid w:val="00DF1695"/>
    <w:rsid w:val="00DF6D05"/>
    <w:rsid w:val="00E15A65"/>
    <w:rsid w:val="00E1710C"/>
    <w:rsid w:val="00E21775"/>
    <w:rsid w:val="00E243C5"/>
    <w:rsid w:val="00E37C20"/>
    <w:rsid w:val="00E40005"/>
    <w:rsid w:val="00E40D2E"/>
    <w:rsid w:val="00E41A94"/>
    <w:rsid w:val="00E43A76"/>
    <w:rsid w:val="00E45B00"/>
    <w:rsid w:val="00E50D75"/>
    <w:rsid w:val="00E52004"/>
    <w:rsid w:val="00E52D41"/>
    <w:rsid w:val="00E54A11"/>
    <w:rsid w:val="00E55F63"/>
    <w:rsid w:val="00E61A14"/>
    <w:rsid w:val="00E6226A"/>
    <w:rsid w:val="00E654D7"/>
    <w:rsid w:val="00E66019"/>
    <w:rsid w:val="00E6651F"/>
    <w:rsid w:val="00E669A2"/>
    <w:rsid w:val="00E70205"/>
    <w:rsid w:val="00E736C3"/>
    <w:rsid w:val="00E743DD"/>
    <w:rsid w:val="00E74E19"/>
    <w:rsid w:val="00E75563"/>
    <w:rsid w:val="00E75A61"/>
    <w:rsid w:val="00E75EDB"/>
    <w:rsid w:val="00E768E5"/>
    <w:rsid w:val="00E81CF3"/>
    <w:rsid w:val="00E83382"/>
    <w:rsid w:val="00E84D47"/>
    <w:rsid w:val="00E85116"/>
    <w:rsid w:val="00E8634D"/>
    <w:rsid w:val="00E86DE4"/>
    <w:rsid w:val="00E91699"/>
    <w:rsid w:val="00E91CDB"/>
    <w:rsid w:val="00E95543"/>
    <w:rsid w:val="00EA499C"/>
    <w:rsid w:val="00EB5D98"/>
    <w:rsid w:val="00EC062F"/>
    <w:rsid w:val="00EC1408"/>
    <w:rsid w:val="00EC1586"/>
    <w:rsid w:val="00EC43EF"/>
    <w:rsid w:val="00EC551D"/>
    <w:rsid w:val="00EC5820"/>
    <w:rsid w:val="00ED058D"/>
    <w:rsid w:val="00ED3BB4"/>
    <w:rsid w:val="00ED4961"/>
    <w:rsid w:val="00ED4EA5"/>
    <w:rsid w:val="00ED6906"/>
    <w:rsid w:val="00ED6FB9"/>
    <w:rsid w:val="00EE13D2"/>
    <w:rsid w:val="00EE36ED"/>
    <w:rsid w:val="00EE4E12"/>
    <w:rsid w:val="00EE7C5F"/>
    <w:rsid w:val="00EF2E69"/>
    <w:rsid w:val="00EF5FF3"/>
    <w:rsid w:val="00F02C63"/>
    <w:rsid w:val="00F05107"/>
    <w:rsid w:val="00F0614A"/>
    <w:rsid w:val="00F14F46"/>
    <w:rsid w:val="00F2258D"/>
    <w:rsid w:val="00F23D48"/>
    <w:rsid w:val="00F3016E"/>
    <w:rsid w:val="00F30A68"/>
    <w:rsid w:val="00F33A33"/>
    <w:rsid w:val="00F358C0"/>
    <w:rsid w:val="00F4228F"/>
    <w:rsid w:val="00F44AE9"/>
    <w:rsid w:val="00F47011"/>
    <w:rsid w:val="00F50B2F"/>
    <w:rsid w:val="00F51BD7"/>
    <w:rsid w:val="00F51FA8"/>
    <w:rsid w:val="00F5280B"/>
    <w:rsid w:val="00F53D8B"/>
    <w:rsid w:val="00F5556C"/>
    <w:rsid w:val="00F56F90"/>
    <w:rsid w:val="00F57936"/>
    <w:rsid w:val="00F6164E"/>
    <w:rsid w:val="00F62385"/>
    <w:rsid w:val="00F64E83"/>
    <w:rsid w:val="00F65362"/>
    <w:rsid w:val="00F6557F"/>
    <w:rsid w:val="00F67CDB"/>
    <w:rsid w:val="00F67D08"/>
    <w:rsid w:val="00F7063F"/>
    <w:rsid w:val="00F7094B"/>
    <w:rsid w:val="00F71B5B"/>
    <w:rsid w:val="00F7309A"/>
    <w:rsid w:val="00F8485E"/>
    <w:rsid w:val="00F84E8C"/>
    <w:rsid w:val="00F87987"/>
    <w:rsid w:val="00F87AB7"/>
    <w:rsid w:val="00F91F3F"/>
    <w:rsid w:val="00F97A3F"/>
    <w:rsid w:val="00F97AAA"/>
    <w:rsid w:val="00FA1A90"/>
    <w:rsid w:val="00FA55A9"/>
    <w:rsid w:val="00FB077D"/>
    <w:rsid w:val="00FB10C3"/>
    <w:rsid w:val="00FB183F"/>
    <w:rsid w:val="00FB41D7"/>
    <w:rsid w:val="00FB7823"/>
    <w:rsid w:val="00FC05A0"/>
    <w:rsid w:val="00FC1C13"/>
    <w:rsid w:val="00FC2F55"/>
    <w:rsid w:val="00FC2FDC"/>
    <w:rsid w:val="00FC4255"/>
    <w:rsid w:val="00FC4C56"/>
    <w:rsid w:val="00FC56E6"/>
    <w:rsid w:val="00FC600B"/>
    <w:rsid w:val="00FC69C3"/>
    <w:rsid w:val="00FD0462"/>
    <w:rsid w:val="00FD26AA"/>
    <w:rsid w:val="00FD2A0E"/>
    <w:rsid w:val="00FD340D"/>
    <w:rsid w:val="00FD4B9B"/>
    <w:rsid w:val="00FD7D4B"/>
    <w:rsid w:val="00FD7E9D"/>
    <w:rsid w:val="00FE1B8D"/>
    <w:rsid w:val="00FE461D"/>
    <w:rsid w:val="00FE5033"/>
    <w:rsid w:val="00FE6EF0"/>
    <w:rsid w:val="00FE7C25"/>
    <w:rsid w:val="00FF2478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7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392"/>
  </w:style>
  <w:style w:type="character" w:styleId="a4">
    <w:name w:val="Strong"/>
    <w:basedOn w:val="a0"/>
    <w:uiPriority w:val="22"/>
    <w:qFormat/>
    <w:rsid w:val="00B33392"/>
    <w:rPr>
      <w:b/>
      <w:bCs/>
    </w:rPr>
  </w:style>
  <w:style w:type="character" w:styleId="a5">
    <w:name w:val="Emphasis"/>
    <w:basedOn w:val="a0"/>
    <w:uiPriority w:val="20"/>
    <w:qFormat/>
    <w:rsid w:val="00B33392"/>
    <w:rPr>
      <w:i/>
      <w:iCs/>
    </w:rPr>
  </w:style>
  <w:style w:type="paragraph" w:styleId="a6">
    <w:name w:val="List Paragraph"/>
    <w:basedOn w:val="a"/>
    <w:uiPriority w:val="34"/>
    <w:qFormat/>
    <w:rsid w:val="0059772E"/>
    <w:pPr>
      <w:spacing w:after="0" w:line="240" w:lineRule="auto"/>
      <w:ind w:left="720"/>
    </w:pPr>
    <w:rPr>
      <w:rFonts w:ascii="Calibri" w:hAnsi="Calibri" w:cs="Times New Roman"/>
    </w:rPr>
  </w:style>
  <w:style w:type="table" w:styleId="a7">
    <w:name w:val="Table Grid"/>
    <w:basedOn w:val="a1"/>
    <w:uiPriority w:val="59"/>
    <w:rsid w:val="0059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81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4F557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F557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F557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DC15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15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15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15A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15A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DC15A1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AF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F2AFD"/>
  </w:style>
  <w:style w:type="paragraph" w:styleId="af5">
    <w:name w:val="footer"/>
    <w:basedOn w:val="a"/>
    <w:link w:val="af6"/>
    <w:uiPriority w:val="99"/>
    <w:unhideWhenUsed/>
    <w:rsid w:val="00AF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F2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392"/>
  </w:style>
  <w:style w:type="character" w:styleId="a4">
    <w:name w:val="Strong"/>
    <w:basedOn w:val="a0"/>
    <w:uiPriority w:val="22"/>
    <w:qFormat/>
    <w:rsid w:val="00B33392"/>
    <w:rPr>
      <w:b/>
      <w:bCs/>
    </w:rPr>
  </w:style>
  <w:style w:type="character" w:styleId="a5">
    <w:name w:val="Emphasis"/>
    <w:basedOn w:val="a0"/>
    <w:uiPriority w:val="20"/>
    <w:qFormat/>
    <w:rsid w:val="00B33392"/>
    <w:rPr>
      <w:i/>
      <w:iCs/>
    </w:rPr>
  </w:style>
  <w:style w:type="paragraph" w:styleId="a6">
    <w:name w:val="List Paragraph"/>
    <w:basedOn w:val="a"/>
    <w:uiPriority w:val="34"/>
    <w:qFormat/>
    <w:rsid w:val="0059772E"/>
    <w:pPr>
      <w:spacing w:after="0" w:line="240" w:lineRule="auto"/>
      <w:ind w:left="720"/>
    </w:pPr>
    <w:rPr>
      <w:rFonts w:ascii="Calibri" w:hAnsi="Calibri" w:cs="Times New Roman"/>
    </w:rPr>
  </w:style>
  <w:style w:type="table" w:styleId="a7">
    <w:name w:val="Table Grid"/>
    <w:basedOn w:val="a1"/>
    <w:uiPriority w:val="59"/>
    <w:rsid w:val="0059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81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4F557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F557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F557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DC15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15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15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15A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15A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DC15A1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AF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F2AFD"/>
  </w:style>
  <w:style w:type="paragraph" w:styleId="af5">
    <w:name w:val="footer"/>
    <w:basedOn w:val="a"/>
    <w:link w:val="af6"/>
    <w:uiPriority w:val="99"/>
    <w:unhideWhenUsed/>
    <w:rsid w:val="00AF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F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62CE-52F2-4A20-BD45-14C407CE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Дюкель Олег Александрович</dc:creator>
  <cp:lastModifiedBy>Евстратова Ульяна Александровна</cp:lastModifiedBy>
  <cp:revision>2</cp:revision>
  <cp:lastPrinted>2015-02-18T07:25:00Z</cp:lastPrinted>
  <dcterms:created xsi:type="dcterms:W3CDTF">2015-03-06T10:34:00Z</dcterms:created>
  <dcterms:modified xsi:type="dcterms:W3CDTF">2015-03-06T10:34:00Z</dcterms:modified>
</cp:coreProperties>
</file>